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bCs/>
          <w:sz w:val="24"/>
          <w:szCs w:val="24"/>
          <w:lang w:val="en-US" w:eastAsia="zh-CN"/>
        </w:rPr>
      </w:pPr>
      <w:bookmarkStart w:id="0" w:name="Title"/>
      <w:bookmarkEnd w:id="0"/>
      <w:bookmarkStart w:id="1" w:name="DocumentFor"/>
      <w:bookmarkEnd w:id="1"/>
      <w:bookmarkStart w:id="2" w:name="OLE_LINK6"/>
      <w:bookmarkStart w:id="3" w:name="OLE_LINK5"/>
      <w:r>
        <w:rPr>
          <w:rFonts w:ascii="Arial" w:hAnsi="Arial" w:cs="Arial"/>
          <w:b/>
          <w:sz w:val="24"/>
          <w:szCs w:val="24"/>
        </w:rPr>
        <w:t>3GPP TSG-RAN WG4 Meeting #</w:t>
      </w:r>
      <w:r>
        <w:t xml:space="preserve"> </w:t>
      </w:r>
      <w:r>
        <w:rPr>
          <w:rFonts w:ascii="Arial" w:hAnsi="Arial" w:cs="Arial"/>
          <w:b/>
          <w:sz w:val="24"/>
          <w:szCs w:val="24"/>
        </w:rPr>
        <w:t>98-e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R4-210083</w:t>
      </w:r>
      <w:r>
        <w:rPr>
          <w:rFonts w:hint="eastAsia" w:ascii="Arial" w:hAnsi="Arial" w:eastAsia="宋体" w:cs="Times New Roman"/>
          <w:b/>
          <w:bCs/>
          <w:sz w:val="24"/>
          <w:szCs w:val="24"/>
          <w:lang w:val="en-US" w:eastAsia="zh-CN"/>
        </w:rPr>
        <w:t>6</w:t>
      </w:r>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Electronic Meeting, Jan. 25-Feb. 5, 2021</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Calibri" w:cs="Arial"/>
          <w:b/>
          <w:bCs/>
          <w:sz w:val="24"/>
          <w:lang w:val="en-GB"/>
        </w:rPr>
        <w:t>Test cases for intra and inter frequency and inter-RAT measurement requirements</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7.1.6.3.12</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3"/>
        </w:rPr>
        <w:t>ductio</w:t>
      </w:r>
      <w:r>
        <w:rPr>
          <w:rFonts w:ascii="Arial" w:hAnsi="Arial" w:eastAsia="宋体" w:cs="Times New Roman"/>
          <w:sz w:val="36"/>
          <w:szCs w:val="20"/>
          <w:lang w:val="en-GB"/>
        </w:rPr>
        <w:t>n</w:t>
      </w:r>
    </w:p>
    <w:p>
      <w:pPr>
        <w:rPr>
          <w:rFonts w:hint="eastAsia" w:eastAsia="宋体"/>
          <w:sz w:val="22"/>
          <w:szCs w:val="22"/>
          <w:lang w:val="en-US" w:eastAsia="zh-CN"/>
        </w:rPr>
      </w:pPr>
      <w:r>
        <w:rPr>
          <w:rFonts w:hint="eastAsia" w:eastAsia="宋体"/>
          <w:sz w:val="22"/>
          <w:szCs w:val="22"/>
          <w:lang w:val="en-US" w:eastAsia="zh-CN"/>
        </w:rPr>
        <w:t xml:space="preserve">In RAN4 97-e, the first meeting to discuss performance part of NR-U, companies has some preliminary discussions on the scope of test cases, test configurations and the work plan. During the discussions, three of the open issue are the scope of test cases regarding intra-f, inter-f and inter-RAT measurements. Companies had different views on the scope test cases while some consensus was captured in the WF [1] as shown below.  </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spacing w:after="60"/>
              <w:rPr>
                <w:b/>
                <w:color w:val="000000" w:themeColor="text1"/>
                <w:highlight w:val="none"/>
                <w:u w:val="single"/>
                <w:lang w:eastAsia="ko-KR"/>
                <w14:textFill>
                  <w14:solidFill>
                    <w14:schemeClr w14:val="tx1"/>
                  </w14:solidFill>
                </w14:textFill>
              </w:rPr>
            </w:pPr>
            <w:r>
              <w:rPr>
                <w:b/>
                <w:color w:val="000000" w:themeColor="text1"/>
                <w:highlight w:val="none"/>
                <w:u w:val="single"/>
                <w:lang w:eastAsia="ko-KR"/>
                <w14:textFill>
                  <w14:solidFill>
                    <w14:schemeClr w14:val="tx1"/>
                  </w14:solidFill>
                </w14:textFill>
              </w:rPr>
              <w:t>Issue 3-3-15: Intra Frequency measurement procedure</w:t>
            </w:r>
          </w:p>
          <w:p>
            <w:pPr>
              <w:pStyle w:val="28"/>
              <w:numPr>
                <w:ilvl w:val="0"/>
                <w:numId w:val="6"/>
              </w:numPr>
              <w:overflowPunct w:val="0"/>
              <w:autoSpaceDE w:val="0"/>
              <w:autoSpaceDN w:val="0"/>
              <w:adjustRightInd w:val="0"/>
              <w:spacing w:after="120" w:line="259" w:lineRule="auto"/>
              <w:contextualSpacing w:val="0"/>
              <w:textAlignment w:val="baseline"/>
              <w:rPr>
                <w:i/>
                <w:color w:val="4472C4" w:themeColor="accent1"/>
                <w:highlight w:val="none"/>
                <w14:textFill>
                  <w14:solidFill>
                    <w14:schemeClr w14:val="accent1"/>
                  </w14:solidFill>
                </w14:textFill>
              </w:rPr>
            </w:pPr>
            <w:r>
              <w:rPr>
                <w:i/>
                <w:color w:val="4472C4" w:themeColor="accent1"/>
                <w:highlight w:val="none"/>
                <w14:textFill>
                  <w14:solidFill>
                    <w14:schemeClr w14:val="accent1"/>
                  </w14:solidFill>
                </w14:textFill>
              </w:rPr>
              <w:t xml:space="preserve">RAN4 to define </w:t>
            </w:r>
            <w:r>
              <w:rPr>
                <w:i/>
                <w:color w:val="4472C4" w:themeColor="accent1"/>
                <w:highlight w:val="none"/>
                <w:u w:val="single"/>
                <w14:textFill>
                  <w14:solidFill>
                    <w14:schemeClr w14:val="accent1"/>
                  </w14:solidFill>
                </w14:textFill>
              </w:rPr>
              <w:t>at least</w:t>
            </w:r>
            <w:r>
              <w:rPr>
                <w:i/>
                <w:color w:val="4472C4" w:themeColor="accent1"/>
                <w:highlight w:val="none"/>
                <w14:textFill>
                  <w14:solidFill>
                    <w14:schemeClr w14:val="accent1"/>
                  </w14:solidFill>
                </w14:textFill>
              </w:rPr>
              <w:t xml:space="preserve"> the following test cases </w:t>
            </w:r>
            <w:r>
              <w:rPr>
                <w:i/>
                <w:color w:val="4472C4" w:themeColor="accent1"/>
                <w:highlight w:val="none"/>
                <w:u w:val="single"/>
                <w14:textFill>
                  <w14:solidFill>
                    <w14:schemeClr w14:val="accent1"/>
                  </w14:solidFill>
                </w14:textFill>
              </w:rPr>
              <w:t>for the measurement procedures requirements</w:t>
            </w:r>
            <w:r>
              <w:rPr>
                <w:i/>
                <w:color w:val="4472C4" w:themeColor="accent1"/>
                <w:highlight w:val="none"/>
                <w14:textFill>
                  <w14:solidFill>
                    <w14:schemeClr w14:val="accent1"/>
                  </w14:solidFill>
                </w14:textFill>
              </w:rPr>
              <w:t>:</w:t>
            </w:r>
          </w:p>
          <w:p>
            <w:pPr>
              <w:pStyle w:val="28"/>
              <w:numPr>
                <w:ilvl w:val="1"/>
                <w:numId w:val="7"/>
              </w:numPr>
              <w:overflowPunct w:val="0"/>
              <w:autoSpaceDE w:val="0"/>
              <w:autoSpaceDN w:val="0"/>
              <w:adjustRightInd w:val="0"/>
              <w:spacing w:after="120" w:line="259" w:lineRule="auto"/>
              <w:contextualSpacing w:val="0"/>
              <w:textAlignment w:val="baseline"/>
              <w:rPr>
                <w:i/>
                <w:color w:val="4472C4" w:themeColor="accent1"/>
                <w:highlight w:val="none"/>
                <w14:textFill>
                  <w14:solidFill>
                    <w14:schemeClr w14:val="accent1"/>
                  </w14:solidFill>
                </w14:textFill>
              </w:rPr>
            </w:pPr>
            <w:r>
              <w:rPr>
                <w:i/>
                <w:color w:val="4472C4" w:themeColor="accent1"/>
                <w:highlight w:val="none"/>
                <w14:textFill>
                  <w14:solidFill>
                    <w14:schemeClr w14:val="accent1"/>
                  </w14:solidFill>
                </w14:textFill>
              </w:rPr>
              <w:t>Intra-frequency SS-RSRP measurements on:</w:t>
            </w:r>
          </w:p>
          <w:p>
            <w:pPr>
              <w:pStyle w:val="28"/>
              <w:numPr>
                <w:ilvl w:val="1"/>
                <w:numId w:val="8"/>
              </w:numPr>
              <w:spacing w:after="120"/>
              <w:contextualSpacing w:val="0"/>
              <w:rPr>
                <w:i/>
                <w:color w:val="4472C4" w:themeColor="accent1"/>
                <w:highlight w:val="none"/>
                <w14:textFill>
                  <w14:solidFill>
                    <w14:schemeClr w14:val="accent1"/>
                  </w14:solidFill>
                </w14:textFill>
              </w:rPr>
            </w:pPr>
            <w:r>
              <w:rPr>
                <w:i/>
                <w:color w:val="4472C4" w:themeColor="accent1"/>
                <w:highlight w:val="none"/>
                <w14:textFill>
                  <w14:solidFill>
                    <w14:schemeClr w14:val="accent1"/>
                  </w14:solidFill>
                </w14:textFill>
              </w:rPr>
              <w:t>NR-U SCC, with NR PCC (FR1)</w:t>
            </w:r>
          </w:p>
          <w:p>
            <w:pPr>
              <w:pStyle w:val="28"/>
              <w:numPr>
                <w:ilvl w:val="1"/>
                <w:numId w:val="8"/>
              </w:numPr>
              <w:spacing w:after="120"/>
              <w:contextualSpacing w:val="0"/>
              <w:rPr>
                <w:i/>
                <w:color w:val="4472C4" w:themeColor="accent1"/>
                <w:highlight w:val="none"/>
                <w14:textFill>
                  <w14:solidFill>
                    <w14:schemeClr w14:val="accent1"/>
                  </w14:solidFill>
                </w14:textFill>
              </w:rPr>
            </w:pPr>
            <w:r>
              <w:rPr>
                <w:i/>
                <w:color w:val="4472C4" w:themeColor="accent1"/>
                <w:highlight w:val="none"/>
                <w14:textFill>
                  <w14:solidFill>
                    <w14:schemeClr w14:val="accent1"/>
                  </w14:solidFill>
                </w14:textFill>
              </w:rPr>
              <w:t>NR-U PCC</w:t>
            </w:r>
          </w:p>
          <w:p>
            <w:pPr>
              <w:pStyle w:val="28"/>
              <w:numPr>
                <w:ilvl w:val="1"/>
                <w:numId w:val="8"/>
              </w:numPr>
              <w:spacing w:after="120"/>
              <w:contextualSpacing w:val="0"/>
              <w:rPr>
                <w:i/>
                <w:color w:val="4472C4" w:themeColor="accent1"/>
                <w:highlight w:val="none"/>
                <w14:textFill>
                  <w14:solidFill>
                    <w14:schemeClr w14:val="accent1"/>
                  </w14:solidFill>
                </w14:textFill>
              </w:rPr>
            </w:pPr>
            <w:r>
              <w:rPr>
                <w:i/>
                <w:color w:val="4472C4" w:themeColor="accent1"/>
                <w:highlight w:val="none"/>
                <w14:textFill>
                  <w14:solidFill>
                    <w14:schemeClr w14:val="accent1"/>
                  </w14:solidFill>
                </w14:textFill>
              </w:rPr>
              <w:t>NR-U SCC, with NR-U PCC</w:t>
            </w:r>
          </w:p>
          <w:p>
            <w:pPr>
              <w:pStyle w:val="28"/>
              <w:numPr>
                <w:ilvl w:val="1"/>
                <w:numId w:val="8"/>
              </w:numPr>
              <w:spacing w:after="120"/>
              <w:contextualSpacing w:val="0"/>
              <w:rPr>
                <w:i/>
                <w:color w:val="4472C4" w:themeColor="accent1"/>
                <w:highlight w:val="none"/>
                <w14:textFill>
                  <w14:solidFill>
                    <w14:schemeClr w14:val="accent1"/>
                  </w14:solidFill>
                </w14:textFill>
              </w:rPr>
            </w:pPr>
            <w:r>
              <w:rPr>
                <w:i/>
                <w:color w:val="4472C4" w:themeColor="accent1"/>
                <w:highlight w:val="none"/>
                <w14:textFill>
                  <w14:solidFill>
                    <w14:schemeClr w14:val="accent1"/>
                  </w14:solidFill>
                </w14:textFill>
              </w:rPr>
              <w:t>NR-U PSCC, with E-UTRAN PCC (FDD,TDD)</w:t>
            </w:r>
          </w:p>
          <w:p>
            <w:pPr>
              <w:pStyle w:val="28"/>
              <w:numPr>
                <w:ilvl w:val="1"/>
                <w:numId w:val="8"/>
              </w:numPr>
              <w:spacing w:after="120"/>
              <w:contextualSpacing w:val="0"/>
              <w:rPr>
                <w:i/>
                <w:color w:val="4472C4" w:themeColor="accent1"/>
                <w:highlight w:val="none"/>
                <w14:textFill>
                  <w14:solidFill>
                    <w14:schemeClr w14:val="accent1"/>
                  </w14:solidFill>
                </w14:textFill>
              </w:rPr>
            </w:pPr>
            <w:r>
              <w:rPr>
                <w:i/>
                <w:color w:val="4472C4" w:themeColor="accent1"/>
                <w:highlight w:val="none"/>
                <w14:textFill>
                  <w14:solidFill>
                    <w14:schemeClr w14:val="accent1"/>
                  </w14:solidFill>
                </w14:textFill>
              </w:rPr>
              <w:t>NR-U SCC measurements, with E-UTRAN PCC (FDD,TDD) and NR-U PSCC</w:t>
            </w:r>
          </w:p>
          <w:p>
            <w:pPr>
              <w:pStyle w:val="28"/>
              <w:numPr>
                <w:ilvl w:val="1"/>
                <w:numId w:val="7"/>
              </w:numPr>
              <w:overflowPunct w:val="0"/>
              <w:autoSpaceDE w:val="0"/>
              <w:autoSpaceDN w:val="0"/>
              <w:adjustRightInd w:val="0"/>
              <w:spacing w:after="120" w:line="259" w:lineRule="auto"/>
              <w:contextualSpacing w:val="0"/>
              <w:textAlignment w:val="baseline"/>
              <w:rPr>
                <w:i/>
                <w:color w:val="4472C4" w:themeColor="accent1"/>
                <w:highlight w:val="none"/>
                <w14:textFill>
                  <w14:solidFill>
                    <w14:schemeClr w14:val="accent1"/>
                  </w14:solidFill>
                </w14:textFill>
              </w:rPr>
            </w:pPr>
            <w:r>
              <w:rPr>
                <w:i/>
                <w:color w:val="4472C4" w:themeColor="accent1"/>
                <w:highlight w:val="none"/>
                <w14:textFill>
                  <w14:solidFill>
                    <w14:schemeClr w14:val="accent1"/>
                  </w14:solidFill>
                </w14:textFill>
              </w:rPr>
              <w:t>L1-RSRP measurements on:</w:t>
            </w:r>
          </w:p>
          <w:p>
            <w:pPr>
              <w:pStyle w:val="28"/>
              <w:numPr>
                <w:ilvl w:val="1"/>
                <w:numId w:val="8"/>
              </w:numPr>
              <w:spacing w:after="120"/>
              <w:contextualSpacing w:val="0"/>
              <w:rPr>
                <w:i/>
                <w:color w:val="4472C4" w:themeColor="accent1"/>
                <w:highlight w:val="none"/>
                <w14:textFill>
                  <w14:solidFill>
                    <w14:schemeClr w14:val="accent1"/>
                  </w14:solidFill>
                </w14:textFill>
              </w:rPr>
            </w:pPr>
            <w:r>
              <w:rPr>
                <w:i/>
                <w:color w:val="4472C4" w:themeColor="accent1"/>
                <w:highlight w:val="none"/>
                <w14:textFill>
                  <w14:solidFill>
                    <w14:schemeClr w14:val="accent1"/>
                  </w14:solidFill>
                </w14:textFill>
              </w:rPr>
              <w:t>NR-U SCC, with NR PCC (FR1)</w:t>
            </w:r>
          </w:p>
          <w:p>
            <w:pPr>
              <w:pStyle w:val="28"/>
              <w:numPr>
                <w:ilvl w:val="1"/>
                <w:numId w:val="8"/>
              </w:numPr>
              <w:spacing w:after="120"/>
              <w:contextualSpacing w:val="0"/>
              <w:rPr>
                <w:i/>
                <w:color w:val="4472C4" w:themeColor="accent1"/>
                <w:highlight w:val="none"/>
                <w14:textFill>
                  <w14:solidFill>
                    <w14:schemeClr w14:val="accent1"/>
                  </w14:solidFill>
                </w14:textFill>
              </w:rPr>
            </w:pPr>
            <w:r>
              <w:rPr>
                <w:i/>
                <w:color w:val="4472C4" w:themeColor="accent1"/>
                <w:highlight w:val="none"/>
                <w14:textFill>
                  <w14:solidFill>
                    <w14:schemeClr w14:val="accent1"/>
                  </w14:solidFill>
                </w14:textFill>
              </w:rPr>
              <w:t>NR-U PCC</w:t>
            </w:r>
          </w:p>
          <w:p>
            <w:pPr>
              <w:pStyle w:val="28"/>
              <w:numPr>
                <w:ilvl w:val="1"/>
                <w:numId w:val="8"/>
              </w:numPr>
              <w:spacing w:after="120"/>
              <w:contextualSpacing w:val="0"/>
              <w:rPr>
                <w:i/>
                <w:color w:val="4472C4" w:themeColor="accent1"/>
                <w:highlight w:val="none"/>
                <w14:textFill>
                  <w14:solidFill>
                    <w14:schemeClr w14:val="accent1"/>
                  </w14:solidFill>
                </w14:textFill>
              </w:rPr>
            </w:pPr>
            <w:r>
              <w:rPr>
                <w:i/>
                <w:color w:val="4472C4" w:themeColor="accent1"/>
                <w:highlight w:val="none"/>
                <w14:textFill>
                  <w14:solidFill>
                    <w14:schemeClr w14:val="accent1"/>
                  </w14:solidFill>
                </w14:textFill>
              </w:rPr>
              <w:t>NR-U SCC, with NR-U PCC</w:t>
            </w:r>
          </w:p>
          <w:p>
            <w:pPr>
              <w:pStyle w:val="28"/>
              <w:numPr>
                <w:ilvl w:val="1"/>
                <w:numId w:val="8"/>
              </w:numPr>
              <w:spacing w:after="120"/>
              <w:contextualSpacing w:val="0"/>
              <w:rPr>
                <w:i/>
                <w:color w:val="4472C4" w:themeColor="accent1"/>
                <w:highlight w:val="none"/>
                <w14:textFill>
                  <w14:solidFill>
                    <w14:schemeClr w14:val="accent1"/>
                  </w14:solidFill>
                </w14:textFill>
              </w:rPr>
            </w:pPr>
            <w:r>
              <w:rPr>
                <w:i/>
                <w:color w:val="4472C4" w:themeColor="accent1"/>
                <w:highlight w:val="none"/>
                <w14:textFill>
                  <w14:solidFill>
                    <w14:schemeClr w14:val="accent1"/>
                  </w14:solidFill>
                </w14:textFill>
              </w:rPr>
              <w:t>NR-U PSCC, with E-UTRAN PCC (FDD,TDD)</w:t>
            </w:r>
          </w:p>
          <w:p>
            <w:pPr>
              <w:pStyle w:val="28"/>
              <w:numPr>
                <w:ilvl w:val="1"/>
                <w:numId w:val="8"/>
              </w:numPr>
              <w:spacing w:after="120"/>
              <w:contextualSpacing w:val="0"/>
              <w:rPr>
                <w:i/>
                <w:color w:val="4472C4" w:themeColor="accent1"/>
                <w:highlight w:val="none"/>
                <w14:textFill>
                  <w14:solidFill>
                    <w14:schemeClr w14:val="accent1"/>
                  </w14:solidFill>
                </w14:textFill>
              </w:rPr>
            </w:pPr>
            <w:r>
              <w:rPr>
                <w:i/>
                <w:color w:val="4472C4" w:themeColor="accent1"/>
                <w:highlight w:val="none"/>
                <w14:textFill>
                  <w14:solidFill>
                    <w14:schemeClr w14:val="accent1"/>
                  </w14:solidFill>
                </w14:textFill>
              </w:rPr>
              <w:t>NR-U SCC measurements, with E-UTRAN PCC (FDD,TDD) and NR-U PSCC</w:t>
            </w:r>
          </w:p>
          <w:p>
            <w:pPr>
              <w:pStyle w:val="28"/>
              <w:numPr>
                <w:ilvl w:val="1"/>
                <w:numId w:val="7"/>
              </w:numPr>
              <w:overflowPunct w:val="0"/>
              <w:autoSpaceDE w:val="0"/>
              <w:autoSpaceDN w:val="0"/>
              <w:adjustRightInd w:val="0"/>
              <w:spacing w:after="120" w:line="259" w:lineRule="auto"/>
              <w:contextualSpacing w:val="0"/>
              <w:textAlignment w:val="baseline"/>
              <w:rPr>
                <w:rFonts w:eastAsia="Yu Mincho"/>
                <w:i/>
                <w:color w:val="4472C4" w:themeColor="accent1"/>
                <w:highlight w:val="none"/>
                <w14:textFill>
                  <w14:solidFill>
                    <w14:schemeClr w14:val="accent1"/>
                  </w14:solidFill>
                </w14:textFill>
              </w:rPr>
            </w:pPr>
            <w:r>
              <w:rPr>
                <w:rFonts w:eastAsia="Yu Mincho"/>
                <w:i/>
                <w:color w:val="4472C4" w:themeColor="accent1"/>
                <w:highlight w:val="none"/>
                <w14:textFill>
                  <w14:solidFill>
                    <w14:schemeClr w14:val="accent1"/>
                  </w14:solidFill>
                </w14:textFill>
              </w:rPr>
              <w:t>Intra-frequency RSSI and CO measurements on:</w:t>
            </w:r>
          </w:p>
          <w:p>
            <w:pPr>
              <w:pStyle w:val="28"/>
              <w:numPr>
                <w:ilvl w:val="1"/>
                <w:numId w:val="8"/>
              </w:numPr>
              <w:spacing w:after="120"/>
              <w:contextualSpacing w:val="0"/>
              <w:rPr>
                <w:i/>
                <w:color w:val="4472C4" w:themeColor="accent1"/>
                <w:highlight w:val="none"/>
                <w14:textFill>
                  <w14:solidFill>
                    <w14:schemeClr w14:val="accent1"/>
                  </w14:solidFill>
                </w14:textFill>
              </w:rPr>
            </w:pPr>
            <w:r>
              <w:rPr>
                <w:i/>
                <w:color w:val="4472C4" w:themeColor="accent1"/>
                <w:highlight w:val="none"/>
                <w14:textFill>
                  <w14:solidFill>
                    <w14:schemeClr w14:val="accent1"/>
                  </w14:solidFill>
                </w14:textFill>
              </w:rPr>
              <w:t>NR-U SCC, with NR PCC (FR1)</w:t>
            </w:r>
          </w:p>
          <w:p>
            <w:pPr>
              <w:pStyle w:val="28"/>
              <w:numPr>
                <w:ilvl w:val="1"/>
                <w:numId w:val="8"/>
              </w:numPr>
              <w:spacing w:after="120"/>
              <w:contextualSpacing w:val="0"/>
              <w:rPr>
                <w:i/>
                <w:color w:val="4472C4" w:themeColor="accent1"/>
                <w:highlight w:val="none"/>
                <w14:textFill>
                  <w14:solidFill>
                    <w14:schemeClr w14:val="accent1"/>
                  </w14:solidFill>
                </w14:textFill>
              </w:rPr>
            </w:pPr>
            <w:r>
              <w:rPr>
                <w:i/>
                <w:color w:val="4472C4" w:themeColor="accent1"/>
                <w:highlight w:val="none"/>
                <w14:textFill>
                  <w14:solidFill>
                    <w14:schemeClr w14:val="accent1"/>
                  </w14:solidFill>
                </w14:textFill>
              </w:rPr>
              <w:t>NR-U PCC</w:t>
            </w:r>
          </w:p>
          <w:p>
            <w:pPr>
              <w:pStyle w:val="28"/>
              <w:numPr>
                <w:ilvl w:val="1"/>
                <w:numId w:val="8"/>
              </w:numPr>
              <w:spacing w:after="120"/>
              <w:contextualSpacing w:val="0"/>
              <w:rPr>
                <w:i/>
                <w:color w:val="4472C4" w:themeColor="accent1"/>
                <w:highlight w:val="none"/>
                <w14:textFill>
                  <w14:solidFill>
                    <w14:schemeClr w14:val="accent1"/>
                  </w14:solidFill>
                </w14:textFill>
              </w:rPr>
            </w:pPr>
            <w:r>
              <w:rPr>
                <w:i/>
                <w:color w:val="4472C4" w:themeColor="accent1"/>
                <w:highlight w:val="none"/>
                <w14:textFill>
                  <w14:solidFill>
                    <w14:schemeClr w14:val="accent1"/>
                  </w14:solidFill>
                </w14:textFill>
              </w:rPr>
              <w:t>NR-U SCC, with NR-U PCC</w:t>
            </w:r>
          </w:p>
          <w:p>
            <w:pPr>
              <w:pStyle w:val="28"/>
              <w:numPr>
                <w:ilvl w:val="1"/>
                <w:numId w:val="8"/>
              </w:numPr>
              <w:spacing w:after="120"/>
              <w:contextualSpacing w:val="0"/>
              <w:rPr>
                <w:i/>
                <w:color w:val="4472C4" w:themeColor="accent1"/>
                <w:highlight w:val="none"/>
                <w14:textFill>
                  <w14:solidFill>
                    <w14:schemeClr w14:val="accent1"/>
                  </w14:solidFill>
                </w14:textFill>
              </w:rPr>
            </w:pPr>
            <w:r>
              <w:rPr>
                <w:i/>
                <w:color w:val="4472C4" w:themeColor="accent1"/>
                <w:highlight w:val="none"/>
                <w14:textFill>
                  <w14:solidFill>
                    <w14:schemeClr w14:val="accent1"/>
                  </w14:solidFill>
                </w14:textFill>
              </w:rPr>
              <w:t>NR-U PSCC, with E-UTRAN PCC (FDD,TDD)</w:t>
            </w:r>
          </w:p>
          <w:p>
            <w:pPr>
              <w:pStyle w:val="28"/>
              <w:numPr>
                <w:ilvl w:val="1"/>
                <w:numId w:val="8"/>
              </w:numPr>
              <w:spacing w:after="120"/>
              <w:contextualSpacing w:val="0"/>
              <w:rPr>
                <w:i/>
                <w:color w:val="4472C4" w:themeColor="accent1"/>
                <w:highlight w:val="none"/>
                <w14:textFill>
                  <w14:solidFill>
                    <w14:schemeClr w14:val="accent1"/>
                  </w14:solidFill>
                </w14:textFill>
              </w:rPr>
            </w:pPr>
            <w:r>
              <w:rPr>
                <w:i/>
                <w:color w:val="4472C4" w:themeColor="accent1"/>
                <w:highlight w:val="none"/>
                <w14:textFill>
                  <w14:solidFill>
                    <w14:schemeClr w14:val="accent1"/>
                  </w14:solidFill>
                </w14:textFill>
              </w:rPr>
              <w:t>NR-U SCC measurements, with E-UTRAN PCC (FDD,TDD) and NR-U PSCC</w:t>
            </w:r>
          </w:p>
          <w:p>
            <w:pPr>
              <w:pStyle w:val="28"/>
              <w:numPr>
                <w:ilvl w:val="1"/>
                <w:numId w:val="7"/>
              </w:numPr>
              <w:overflowPunct w:val="0"/>
              <w:autoSpaceDE w:val="0"/>
              <w:autoSpaceDN w:val="0"/>
              <w:adjustRightInd w:val="0"/>
              <w:spacing w:after="120" w:line="259" w:lineRule="auto"/>
              <w:contextualSpacing w:val="0"/>
              <w:rPr>
                <w:rFonts w:eastAsia="Yu Mincho"/>
                <w:i/>
                <w:color w:val="4472C4" w:themeColor="accent1"/>
                <w:highlight w:val="none"/>
                <w14:textFill>
                  <w14:solidFill>
                    <w14:schemeClr w14:val="accent1"/>
                  </w14:solidFill>
                </w14:textFill>
              </w:rPr>
            </w:pPr>
            <w:r>
              <w:rPr>
                <w:rFonts w:eastAsia="Yu Mincho"/>
                <w:i/>
                <w:color w:val="4472C4" w:themeColor="accent1"/>
                <w:highlight w:val="none"/>
                <w14:textFill>
                  <w14:solidFill>
                    <w14:schemeClr w14:val="accent1"/>
                  </w14:solidFill>
                </w14:textFill>
              </w:rPr>
              <w:t xml:space="preserve">Intra-frequency SS-RSRQ and SS-SINR measurements on </w:t>
            </w:r>
          </w:p>
          <w:p>
            <w:pPr>
              <w:pStyle w:val="28"/>
              <w:numPr>
                <w:ilvl w:val="2"/>
                <w:numId w:val="7"/>
              </w:numPr>
              <w:spacing w:after="120"/>
              <w:contextualSpacing w:val="0"/>
              <w:rPr>
                <w:i/>
                <w:color w:val="4472C4" w:themeColor="accent1"/>
                <w:highlight w:val="none"/>
                <w14:textFill>
                  <w14:solidFill>
                    <w14:schemeClr w14:val="accent1"/>
                  </w14:solidFill>
                </w14:textFill>
              </w:rPr>
            </w:pPr>
            <w:r>
              <w:rPr>
                <w:i/>
                <w:color w:val="4472C4" w:themeColor="accent1"/>
                <w:highlight w:val="none"/>
                <w14:textFill>
                  <w14:solidFill>
                    <w14:schemeClr w14:val="accent1"/>
                  </w14:solidFill>
                </w14:textFill>
              </w:rPr>
              <w:t>NR-U SCC, with NR PCC (FR1)</w:t>
            </w:r>
          </w:p>
          <w:p>
            <w:pPr>
              <w:pStyle w:val="28"/>
              <w:numPr>
                <w:ilvl w:val="2"/>
                <w:numId w:val="7"/>
              </w:numPr>
              <w:spacing w:after="120"/>
              <w:contextualSpacing w:val="0"/>
              <w:rPr>
                <w:i/>
                <w:color w:val="4472C4" w:themeColor="accent1"/>
                <w:highlight w:val="none"/>
                <w14:textFill>
                  <w14:solidFill>
                    <w14:schemeClr w14:val="accent1"/>
                  </w14:solidFill>
                </w14:textFill>
              </w:rPr>
            </w:pPr>
            <w:r>
              <w:rPr>
                <w:i/>
                <w:color w:val="4472C4" w:themeColor="accent1"/>
                <w:highlight w:val="none"/>
                <w14:textFill>
                  <w14:solidFill>
                    <w14:schemeClr w14:val="accent1"/>
                  </w14:solidFill>
                </w14:textFill>
              </w:rPr>
              <w:t>NR-U PCC</w:t>
            </w:r>
          </w:p>
          <w:p>
            <w:pPr>
              <w:pStyle w:val="28"/>
              <w:numPr>
                <w:ilvl w:val="2"/>
                <w:numId w:val="7"/>
              </w:numPr>
              <w:spacing w:after="120"/>
              <w:contextualSpacing w:val="0"/>
              <w:rPr>
                <w:i/>
                <w:color w:val="4472C4" w:themeColor="accent1"/>
                <w:highlight w:val="none"/>
                <w14:textFill>
                  <w14:solidFill>
                    <w14:schemeClr w14:val="accent1"/>
                  </w14:solidFill>
                </w14:textFill>
              </w:rPr>
            </w:pPr>
            <w:r>
              <w:rPr>
                <w:i/>
                <w:color w:val="4472C4" w:themeColor="accent1"/>
                <w:highlight w:val="none"/>
                <w14:textFill>
                  <w14:solidFill>
                    <w14:schemeClr w14:val="accent1"/>
                  </w14:solidFill>
                </w14:textFill>
              </w:rPr>
              <w:t>NR-U SCC, with NR-U PCC</w:t>
            </w:r>
          </w:p>
          <w:p>
            <w:pPr>
              <w:pStyle w:val="28"/>
              <w:numPr>
                <w:ilvl w:val="2"/>
                <w:numId w:val="7"/>
              </w:numPr>
              <w:spacing w:after="120"/>
              <w:contextualSpacing w:val="0"/>
              <w:rPr>
                <w:i/>
                <w:color w:val="4472C4" w:themeColor="accent1"/>
                <w:highlight w:val="none"/>
                <w14:textFill>
                  <w14:solidFill>
                    <w14:schemeClr w14:val="accent1"/>
                  </w14:solidFill>
                </w14:textFill>
              </w:rPr>
            </w:pPr>
            <w:r>
              <w:rPr>
                <w:i/>
                <w:color w:val="4472C4" w:themeColor="accent1"/>
                <w:highlight w:val="none"/>
                <w14:textFill>
                  <w14:solidFill>
                    <w14:schemeClr w14:val="accent1"/>
                  </w14:solidFill>
                </w14:textFill>
              </w:rPr>
              <w:t>NR-U PSCC, with E-UTRAN PCC (FDD,TDD)</w:t>
            </w:r>
          </w:p>
          <w:p>
            <w:pPr>
              <w:pStyle w:val="28"/>
              <w:numPr>
                <w:ilvl w:val="2"/>
                <w:numId w:val="7"/>
              </w:numPr>
              <w:spacing w:after="120"/>
              <w:contextualSpacing w:val="0"/>
              <w:rPr>
                <w:i/>
                <w:color w:val="4472C4" w:themeColor="accent1"/>
                <w:highlight w:val="none"/>
                <w14:textFill>
                  <w14:solidFill>
                    <w14:schemeClr w14:val="accent1"/>
                  </w14:solidFill>
                </w14:textFill>
              </w:rPr>
            </w:pPr>
            <w:r>
              <w:rPr>
                <w:i/>
                <w:color w:val="4472C4" w:themeColor="accent1"/>
                <w:highlight w:val="none"/>
                <w14:textFill>
                  <w14:solidFill>
                    <w14:schemeClr w14:val="accent1"/>
                  </w14:solidFill>
                </w14:textFill>
              </w:rPr>
              <w:t>NR-U SCC measurements, with E-UTRAN PCC (FDD,TDD) and NR-U PSCC</w:t>
            </w:r>
          </w:p>
          <w:p>
            <w:pPr>
              <w:spacing w:after="60"/>
              <w:rPr>
                <w:b/>
                <w:color w:val="000000" w:themeColor="text1"/>
                <w:highlight w:val="none"/>
                <w:u w:val="single"/>
                <w:lang w:eastAsia="ko-KR"/>
                <w14:textFill>
                  <w14:solidFill>
                    <w14:schemeClr w14:val="tx1"/>
                  </w14:solidFill>
                </w14:textFill>
              </w:rPr>
            </w:pPr>
            <w:r>
              <w:rPr>
                <w:b/>
                <w:color w:val="000000" w:themeColor="text1"/>
                <w:highlight w:val="none"/>
                <w:u w:val="single"/>
                <w:lang w:eastAsia="ko-KR"/>
                <w14:textFill>
                  <w14:solidFill>
                    <w14:schemeClr w14:val="tx1"/>
                  </w14:solidFill>
                </w14:textFill>
              </w:rPr>
              <w:t>Issue 3-3-16: Inter Frequency measurement procedure</w:t>
            </w:r>
          </w:p>
          <w:p>
            <w:pPr>
              <w:pStyle w:val="28"/>
              <w:numPr>
                <w:ilvl w:val="0"/>
                <w:numId w:val="6"/>
              </w:numPr>
              <w:overflowPunct w:val="0"/>
              <w:autoSpaceDE w:val="0"/>
              <w:autoSpaceDN w:val="0"/>
              <w:adjustRightInd w:val="0"/>
              <w:spacing w:after="120" w:line="259" w:lineRule="auto"/>
              <w:contextualSpacing w:val="0"/>
              <w:textAlignment w:val="baseline"/>
              <w:rPr>
                <w:i/>
                <w:color w:val="C55A11" w:themeColor="accent2" w:themeShade="BF"/>
                <w:highlight w:val="none"/>
                <w:lang w:eastAsia="zh-CN"/>
              </w:rPr>
            </w:pPr>
            <w:r>
              <w:rPr>
                <w:i/>
                <w:color w:val="C55A11" w:themeColor="accent2" w:themeShade="BF"/>
                <w:highlight w:val="none"/>
                <w:lang w:eastAsia="zh-CN"/>
              </w:rPr>
              <w:t>RAN4 to define at least the following test cases:</w:t>
            </w:r>
          </w:p>
          <w:p>
            <w:pPr>
              <w:pStyle w:val="28"/>
              <w:numPr>
                <w:ilvl w:val="0"/>
                <w:numId w:val="6"/>
              </w:numPr>
              <w:overflowPunct w:val="0"/>
              <w:autoSpaceDE w:val="0"/>
              <w:autoSpaceDN w:val="0"/>
              <w:adjustRightInd w:val="0"/>
              <w:spacing w:after="120" w:line="259" w:lineRule="auto"/>
              <w:ind w:left="928"/>
              <w:contextualSpacing w:val="0"/>
              <w:textAlignment w:val="baseline"/>
              <w:rPr>
                <w:i/>
                <w:color w:val="C55A11" w:themeColor="accent2" w:themeShade="BF"/>
                <w:highlight w:val="none"/>
                <w:lang w:eastAsia="zh-CN"/>
              </w:rPr>
            </w:pPr>
            <w:r>
              <w:rPr>
                <w:i/>
                <w:color w:val="C55A11" w:themeColor="accent2" w:themeShade="BF"/>
                <w:highlight w:val="none"/>
                <w:lang w:eastAsia="zh-CN"/>
              </w:rPr>
              <w:t>Inter-frequency SS-RSRP measurements on:</w:t>
            </w:r>
          </w:p>
          <w:p>
            <w:pPr>
              <w:spacing w:after="120" w:line="259" w:lineRule="auto"/>
              <w:ind w:left="928"/>
              <w:rPr>
                <w:i/>
                <w:color w:val="C55A11" w:themeColor="accent2" w:themeShade="BF"/>
                <w:highlight w:val="none"/>
                <w:lang w:eastAsia="zh-CN"/>
              </w:rPr>
            </w:pPr>
            <w:r>
              <w:rPr>
                <w:i/>
                <w:color w:val="C55A11" w:themeColor="accent2" w:themeShade="BF"/>
                <w:highlight w:val="none"/>
                <w:lang w:eastAsia="zh-CN"/>
              </w:rPr>
              <w:t>•        NR-U inter-frequency, with NR PCC (FR1)</w:t>
            </w:r>
          </w:p>
          <w:p>
            <w:pPr>
              <w:spacing w:after="120" w:line="259" w:lineRule="auto"/>
              <w:ind w:left="928"/>
              <w:rPr>
                <w:i/>
                <w:color w:val="C55A11" w:themeColor="accent2" w:themeShade="BF"/>
                <w:highlight w:val="none"/>
                <w:lang w:eastAsia="zh-CN"/>
              </w:rPr>
            </w:pPr>
            <w:r>
              <w:rPr>
                <w:i/>
                <w:color w:val="C55A11" w:themeColor="accent2" w:themeShade="BF"/>
                <w:highlight w:val="none"/>
                <w:lang w:eastAsia="zh-CN"/>
              </w:rPr>
              <w:t>•        NR-U inter-frequency, with NR-U PCC</w:t>
            </w:r>
          </w:p>
          <w:p>
            <w:pPr>
              <w:spacing w:after="120" w:line="259" w:lineRule="auto"/>
              <w:ind w:left="928"/>
              <w:rPr>
                <w:i/>
                <w:color w:val="C55A11" w:themeColor="accent2" w:themeShade="BF"/>
                <w:highlight w:val="none"/>
                <w:lang w:eastAsia="zh-CN"/>
              </w:rPr>
            </w:pPr>
            <w:r>
              <w:rPr>
                <w:i/>
                <w:color w:val="C55A11" w:themeColor="accent2" w:themeShade="BF"/>
                <w:highlight w:val="none"/>
                <w:lang w:eastAsia="zh-CN"/>
              </w:rPr>
              <w:t>•        NR-U inter-frequency, with NR-U PSCC and E-UTRAN PCC (FDD,TDD)</w:t>
            </w:r>
          </w:p>
          <w:p>
            <w:pPr>
              <w:spacing w:after="120" w:line="259" w:lineRule="auto"/>
              <w:ind w:left="928"/>
              <w:rPr>
                <w:i/>
                <w:color w:val="C55A11" w:themeColor="accent2" w:themeShade="BF"/>
                <w:highlight w:val="none"/>
                <w:lang w:eastAsia="zh-CN"/>
              </w:rPr>
            </w:pPr>
            <w:r>
              <w:rPr>
                <w:i/>
                <w:color w:val="C55A11" w:themeColor="accent2" w:themeShade="BF"/>
                <w:highlight w:val="none"/>
                <w:lang w:eastAsia="zh-CN"/>
              </w:rPr>
              <w:t>•        NR (FR1) inter-frequency, with NR-U PCC</w:t>
            </w:r>
          </w:p>
          <w:p>
            <w:pPr>
              <w:spacing w:after="120" w:line="259" w:lineRule="auto"/>
              <w:ind w:left="928"/>
              <w:rPr>
                <w:i/>
                <w:color w:val="C55A11" w:themeColor="accent2" w:themeShade="BF"/>
                <w:highlight w:val="none"/>
                <w:lang w:eastAsia="zh-CN"/>
              </w:rPr>
            </w:pPr>
            <w:r>
              <w:rPr>
                <w:i/>
                <w:color w:val="C55A11" w:themeColor="accent2" w:themeShade="BF"/>
                <w:highlight w:val="none"/>
                <w:lang w:eastAsia="zh-CN"/>
              </w:rPr>
              <w:t>•        NR (FR1) inter-frequency, with NR-U PSCC and E-UTRAN PCC (FDD,TDD)</w:t>
            </w:r>
          </w:p>
          <w:p>
            <w:pPr>
              <w:pStyle w:val="28"/>
              <w:numPr>
                <w:ilvl w:val="0"/>
                <w:numId w:val="6"/>
              </w:numPr>
              <w:overflowPunct w:val="0"/>
              <w:autoSpaceDE w:val="0"/>
              <w:autoSpaceDN w:val="0"/>
              <w:adjustRightInd w:val="0"/>
              <w:spacing w:after="120" w:line="259" w:lineRule="auto"/>
              <w:contextualSpacing w:val="0"/>
              <w:textAlignment w:val="baseline"/>
              <w:rPr>
                <w:rFonts w:eastAsia="Yu Mincho"/>
                <w:i/>
                <w:color w:val="C55A11" w:themeColor="accent2" w:themeShade="BF"/>
                <w:highlight w:val="none"/>
                <w:lang w:eastAsia="zh-CN"/>
              </w:rPr>
            </w:pPr>
            <w:r>
              <w:rPr>
                <w:rFonts w:eastAsia="Yu Mincho"/>
                <w:i/>
                <w:color w:val="C55A11" w:themeColor="accent2" w:themeShade="BF"/>
                <w:highlight w:val="none"/>
                <w:lang w:eastAsia="zh-CN"/>
              </w:rPr>
              <w:t>Inter-frequency RSSI and CO measurements on:</w:t>
            </w:r>
          </w:p>
          <w:p>
            <w:pPr>
              <w:spacing w:after="120" w:line="259" w:lineRule="auto"/>
              <w:ind w:left="852"/>
              <w:rPr>
                <w:i/>
                <w:color w:val="C55A11" w:themeColor="accent2" w:themeShade="BF"/>
                <w:highlight w:val="none"/>
                <w:lang w:eastAsia="zh-CN"/>
              </w:rPr>
            </w:pPr>
            <w:r>
              <w:rPr>
                <w:i/>
                <w:color w:val="C55A11" w:themeColor="accent2" w:themeShade="BF"/>
                <w:highlight w:val="none"/>
                <w:lang w:eastAsia="zh-CN"/>
              </w:rPr>
              <w:t>•        NR-U inter-frequency, with NR PCC (FR1)</w:t>
            </w:r>
          </w:p>
          <w:p>
            <w:pPr>
              <w:spacing w:after="120" w:line="259" w:lineRule="auto"/>
              <w:ind w:left="852"/>
              <w:rPr>
                <w:i/>
                <w:color w:val="C55A11" w:themeColor="accent2" w:themeShade="BF"/>
                <w:highlight w:val="none"/>
                <w:lang w:eastAsia="zh-CN"/>
              </w:rPr>
            </w:pPr>
            <w:r>
              <w:rPr>
                <w:i/>
                <w:color w:val="C55A11" w:themeColor="accent2" w:themeShade="BF"/>
                <w:highlight w:val="none"/>
                <w:lang w:eastAsia="zh-CN"/>
              </w:rPr>
              <w:t>•        NR-U inter-frequency, with NR-U PCC</w:t>
            </w:r>
          </w:p>
          <w:p>
            <w:pPr>
              <w:spacing w:after="120" w:line="259" w:lineRule="auto"/>
              <w:ind w:left="852"/>
              <w:rPr>
                <w:i/>
                <w:color w:val="C55A11" w:themeColor="accent2" w:themeShade="BF"/>
                <w:highlight w:val="none"/>
                <w:lang w:eastAsia="zh-CN"/>
              </w:rPr>
            </w:pPr>
            <w:r>
              <w:rPr>
                <w:i/>
                <w:color w:val="C55A11" w:themeColor="accent2" w:themeShade="BF"/>
                <w:highlight w:val="none"/>
                <w:lang w:eastAsia="zh-CN"/>
              </w:rPr>
              <w:t>•        NR-U inter-frequency, with NR-U PSCC and E-UTRAN PCC (FDD,TDD)</w:t>
            </w:r>
          </w:p>
          <w:p>
            <w:pPr>
              <w:spacing w:after="120" w:line="259" w:lineRule="auto"/>
              <w:rPr>
                <w:i/>
                <w:highlight w:val="none"/>
                <w:lang w:eastAsia="zh-CN"/>
              </w:rPr>
            </w:pPr>
          </w:p>
          <w:p>
            <w:pPr>
              <w:spacing w:after="120" w:line="259" w:lineRule="auto"/>
              <w:rPr>
                <w:i/>
                <w:highlight w:val="none"/>
                <w:lang w:eastAsia="zh-CN"/>
              </w:rPr>
            </w:pPr>
            <w:r>
              <w:rPr>
                <w:i/>
                <w:highlight w:val="none"/>
                <w:lang w:eastAsia="zh-CN"/>
              </w:rPr>
              <w:t>Other options discussed in RAN4 97e: also specify tests SS-SINR and SS-RSRQ measurements</w:t>
            </w:r>
          </w:p>
          <w:p>
            <w:pPr>
              <w:spacing w:after="60"/>
              <w:ind w:left="852" w:hanging="852"/>
              <w:rPr>
                <w:b/>
                <w:color w:val="000000" w:themeColor="text1"/>
                <w:highlight w:val="none"/>
                <w:u w:val="single"/>
                <w:lang w:eastAsia="ko-KR"/>
                <w14:textFill>
                  <w14:solidFill>
                    <w14:schemeClr w14:val="tx1"/>
                  </w14:solidFill>
                </w14:textFill>
              </w:rPr>
            </w:pPr>
            <w:r>
              <w:rPr>
                <w:b/>
                <w:color w:val="000000" w:themeColor="text1"/>
                <w:highlight w:val="none"/>
                <w:u w:val="single"/>
                <w:lang w:eastAsia="ko-KR"/>
                <w14:textFill>
                  <w14:solidFill>
                    <w14:schemeClr w14:val="tx1"/>
                  </w14:solidFill>
                </w14:textFill>
              </w:rPr>
              <w:t>Issue 3-3-17: Inter RAT measurement procedure</w:t>
            </w:r>
          </w:p>
          <w:p>
            <w:pPr>
              <w:spacing w:after="60"/>
              <w:rPr>
                <w:b/>
                <w:color w:val="000000" w:themeColor="text1"/>
                <w:highlight w:val="none"/>
                <w:u w:val="single"/>
                <w:lang w:eastAsia="ko-KR"/>
                <w14:textFill>
                  <w14:solidFill>
                    <w14:schemeClr w14:val="tx1"/>
                  </w14:solidFill>
                </w14:textFill>
              </w:rPr>
            </w:pPr>
          </w:p>
          <w:p>
            <w:pPr>
              <w:spacing w:after="120" w:line="259" w:lineRule="auto"/>
              <w:rPr>
                <w:i/>
                <w:color w:val="C55A11" w:themeColor="accent2" w:themeShade="BF"/>
                <w:highlight w:val="none"/>
                <w:lang w:eastAsia="zh-CN"/>
              </w:rPr>
            </w:pPr>
            <w:r>
              <w:rPr>
                <w:i/>
                <w:color w:val="C55A11" w:themeColor="accent2" w:themeShade="BF"/>
                <w:highlight w:val="none"/>
                <w:lang w:eastAsia="zh-CN"/>
              </w:rPr>
              <w:t>RAN4 to define at least the following test cases:</w:t>
            </w:r>
          </w:p>
          <w:p>
            <w:pPr>
              <w:pStyle w:val="28"/>
              <w:numPr>
                <w:ilvl w:val="0"/>
                <w:numId w:val="6"/>
              </w:numPr>
              <w:overflowPunct w:val="0"/>
              <w:autoSpaceDE w:val="0"/>
              <w:autoSpaceDN w:val="0"/>
              <w:adjustRightInd w:val="0"/>
              <w:spacing w:after="120" w:line="259" w:lineRule="auto"/>
              <w:contextualSpacing w:val="0"/>
              <w:textAlignment w:val="baseline"/>
              <w:rPr>
                <w:i/>
                <w:color w:val="C55A11" w:themeColor="accent2" w:themeShade="BF"/>
                <w:highlight w:val="none"/>
                <w:lang w:eastAsia="zh-CN"/>
              </w:rPr>
            </w:pPr>
            <w:r>
              <w:rPr>
                <w:i/>
                <w:color w:val="C55A11" w:themeColor="accent2" w:themeShade="BF"/>
                <w:highlight w:val="none"/>
                <w:lang w:eastAsia="zh-CN"/>
              </w:rPr>
              <w:t>Inter-RAT SFTD between:</w:t>
            </w:r>
          </w:p>
          <w:p>
            <w:pPr>
              <w:pStyle w:val="28"/>
              <w:numPr>
                <w:ilvl w:val="1"/>
                <w:numId w:val="6"/>
              </w:numPr>
              <w:overflowPunct w:val="0"/>
              <w:autoSpaceDE w:val="0"/>
              <w:autoSpaceDN w:val="0"/>
              <w:adjustRightInd w:val="0"/>
              <w:spacing w:after="120" w:line="259" w:lineRule="auto"/>
              <w:contextualSpacing w:val="0"/>
              <w:textAlignment w:val="baseline"/>
              <w:rPr>
                <w:i/>
                <w:color w:val="C55A11" w:themeColor="accent2" w:themeShade="BF"/>
                <w:highlight w:val="none"/>
                <w:lang w:eastAsia="zh-CN"/>
              </w:rPr>
            </w:pPr>
            <w:r>
              <w:rPr>
                <w:i/>
                <w:color w:val="C55A11" w:themeColor="accent2" w:themeShade="BF"/>
                <w:highlight w:val="none"/>
                <w:lang w:eastAsia="zh-CN"/>
              </w:rPr>
              <w:t xml:space="preserve"> E-UTRAN PCell (FDD,TDD) and NR-U neighbour</w:t>
            </w:r>
          </w:p>
          <w:p>
            <w:pPr>
              <w:pStyle w:val="28"/>
              <w:numPr>
                <w:ilvl w:val="0"/>
                <w:numId w:val="6"/>
              </w:numPr>
              <w:overflowPunct w:val="0"/>
              <w:autoSpaceDE w:val="0"/>
              <w:autoSpaceDN w:val="0"/>
              <w:adjustRightInd w:val="0"/>
              <w:spacing w:after="120" w:line="259" w:lineRule="auto"/>
              <w:contextualSpacing w:val="0"/>
              <w:textAlignment w:val="baseline"/>
              <w:rPr>
                <w:rFonts w:eastAsia="Yu Mincho"/>
                <w:i/>
                <w:color w:val="C55A11" w:themeColor="accent2" w:themeShade="BF"/>
                <w:highlight w:val="none"/>
                <w:lang w:val="pt-BR" w:eastAsia="zh-CN"/>
              </w:rPr>
            </w:pPr>
            <w:r>
              <w:rPr>
                <w:rFonts w:eastAsia="Yu Mincho"/>
                <w:i/>
                <w:color w:val="C55A11" w:themeColor="accent2" w:themeShade="BF"/>
                <w:highlight w:val="none"/>
                <w:lang w:val="pt-BR" w:eastAsia="zh-CN"/>
              </w:rPr>
              <w:t>E-UTRA-NR-U SS-RSRP/SS-RSRQ/SS-SINR</w:t>
            </w:r>
          </w:p>
          <w:p>
            <w:pPr>
              <w:pStyle w:val="28"/>
              <w:numPr>
                <w:ilvl w:val="1"/>
                <w:numId w:val="6"/>
              </w:numPr>
              <w:overflowPunct w:val="0"/>
              <w:autoSpaceDE w:val="0"/>
              <w:autoSpaceDN w:val="0"/>
              <w:adjustRightInd w:val="0"/>
              <w:spacing w:after="120" w:line="259" w:lineRule="auto"/>
              <w:contextualSpacing w:val="0"/>
              <w:textAlignment w:val="baseline"/>
              <w:rPr>
                <w:rFonts w:eastAsia="Yu Mincho"/>
                <w:i/>
                <w:color w:val="C55A11" w:themeColor="accent2" w:themeShade="BF"/>
                <w:highlight w:val="none"/>
                <w:lang w:eastAsia="zh-CN"/>
              </w:rPr>
            </w:pPr>
            <w:r>
              <w:rPr>
                <w:rFonts w:eastAsia="Yu Mincho"/>
                <w:i/>
                <w:color w:val="C55A11" w:themeColor="accent2" w:themeShade="BF"/>
                <w:highlight w:val="none"/>
                <w:lang w:val="pt-BR" w:eastAsia="zh-CN"/>
              </w:rPr>
              <w:t xml:space="preserve">   </w:t>
            </w:r>
            <w:r>
              <w:rPr>
                <w:rFonts w:eastAsia="Yu Mincho"/>
                <w:i/>
                <w:color w:val="C55A11" w:themeColor="accent2" w:themeShade="BF"/>
                <w:highlight w:val="none"/>
                <w:lang w:eastAsia="zh-CN"/>
              </w:rPr>
              <w:t>On NR-U neighbor, with E-UTRA (FDD,TDD) PCC</w:t>
            </w:r>
          </w:p>
          <w:p>
            <w:pPr>
              <w:pStyle w:val="28"/>
              <w:numPr>
                <w:ilvl w:val="1"/>
                <w:numId w:val="6"/>
              </w:numPr>
              <w:overflowPunct w:val="0"/>
              <w:autoSpaceDE w:val="0"/>
              <w:autoSpaceDN w:val="0"/>
              <w:adjustRightInd w:val="0"/>
              <w:spacing w:after="120" w:line="259" w:lineRule="auto"/>
              <w:contextualSpacing w:val="0"/>
              <w:textAlignment w:val="baseline"/>
              <w:rPr>
                <w:rFonts w:eastAsia="Yu Mincho"/>
                <w:i/>
                <w:color w:val="C55A11" w:themeColor="accent2" w:themeShade="BF"/>
                <w:highlight w:val="none"/>
                <w:lang w:eastAsia="zh-CN"/>
              </w:rPr>
            </w:pPr>
            <w:r>
              <w:rPr>
                <w:rFonts w:eastAsia="Yu Mincho"/>
                <w:i/>
                <w:color w:val="C55A11" w:themeColor="accent2" w:themeShade="BF"/>
                <w:highlight w:val="none"/>
                <w:lang w:eastAsia="zh-CN"/>
              </w:rPr>
              <w:t xml:space="preserve">  On NR-U neighbor, with E-UTRA (FDD,TDD) PCC and NR-U PSCC</w:t>
            </w:r>
          </w:p>
          <w:p>
            <w:pPr>
              <w:overflowPunct w:val="0"/>
              <w:autoSpaceDE w:val="0"/>
              <w:autoSpaceDN w:val="0"/>
              <w:adjustRightInd w:val="0"/>
              <w:spacing w:after="120" w:line="259" w:lineRule="auto"/>
              <w:textAlignment w:val="baseline"/>
              <w:rPr>
                <w:rFonts w:eastAsia="Yu Mincho"/>
                <w:i/>
                <w:color w:val="C55A11" w:themeColor="accent2" w:themeShade="BF"/>
                <w:highlight w:val="none"/>
                <w:lang w:eastAsia="zh-CN"/>
              </w:rPr>
            </w:pPr>
            <w:r>
              <w:rPr>
                <w:bCs/>
                <w:i/>
                <w:iCs/>
                <w:color w:val="C55A11" w:themeColor="accent2" w:themeShade="BF"/>
                <w:highlight w:val="none"/>
                <w:lang w:eastAsia="ko-KR"/>
              </w:rPr>
              <w:t>Regarding Inter-RAT SFTD between E-UTRAN PCell (FDD,TDD) and NR-U neighbor, the UE should be capable for NR-U PCell/NR-U PSCell</w:t>
            </w:r>
          </w:p>
          <w:p>
            <w:pPr>
              <w:overflowPunct w:val="0"/>
              <w:autoSpaceDE w:val="0"/>
              <w:autoSpaceDN w:val="0"/>
              <w:adjustRightInd w:val="0"/>
              <w:spacing w:after="120" w:line="259" w:lineRule="auto"/>
              <w:textAlignment w:val="baseline"/>
              <w:rPr>
                <w:rFonts w:eastAsia="Yu Mincho"/>
                <w:i/>
                <w:highlight w:val="none"/>
                <w:lang w:eastAsia="zh-CN"/>
              </w:rPr>
            </w:pPr>
            <w:r>
              <w:rPr>
                <w:rFonts w:eastAsia="Yu Mincho"/>
                <w:i/>
                <w:highlight w:val="none"/>
                <w:lang w:eastAsia="zh-CN"/>
              </w:rPr>
              <w:t>Other tests discussed in RAN4-97e:</w:t>
            </w:r>
          </w:p>
          <w:p>
            <w:pPr>
              <w:pStyle w:val="28"/>
              <w:numPr>
                <w:ilvl w:val="0"/>
                <w:numId w:val="6"/>
              </w:numPr>
              <w:overflowPunct w:val="0"/>
              <w:autoSpaceDE w:val="0"/>
              <w:autoSpaceDN w:val="0"/>
              <w:adjustRightInd w:val="0"/>
              <w:spacing w:line="256" w:lineRule="auto"/>
              <w:contextualSpacing w:val="0"/>
              <w:rPr>
                <w:rFonts w:eastAsia="Yu Mincho"/>
                <w:i/>
                <w:color w:val="000000" w:themeColor="text1"/>
                <w:highlight w:val="none"/>
                <w:lang w:eastAsia="zh-CN"/>
                <w14:textFill>
                  <w14:solidFill>
                    <w14:schemeClr w14:val="tx1"/>
                  </w14:solidFill>
                </w14:textFill>
              </w:rPr>
            </w:pPr>
            <w:r>
              <w:rPr>
                <w:rFonts w:eastAsia="Yu Mincho"/>
                <w:i/>
                <w:color w:val="000000" w:themeColor="text1"/>
                <w:highlight w:val="none"/>
                <w:lang w:eastAsia="zh-CN"/>
                <w14:textFill>
                  <w14:solidFill>
                    <w14:schemeClr w14:val="tx1"/>
                  </w14:solidFill>
                </w14:textFill>
              </w:rPr>
              <w:t>NR-U-E-UTRA RSRP/RSRQ (needed for HO):</w:t>
            </w:r>
          </w:p>
          <w:p>
            <w:pPr>
              <w:pStyle w:val="28"/>
              <w:rPr>
                <w:rFonts w:eastAsia="Yu Mincho"/>
                <w:i/>
                <w:color w:val="000000" w:themeColor="text1"/>
                <w:highlight w:val="none"/>
                <w:lang w:eastAsia="zh-CN"/>
                <w14:textFill>
                  <w14:solidFill>
                    <w14:schemeClr w14:val="tx1"/>
                  </w14:solidFill>
                </w14:textFill>
              </w:rPr>
            </w:pPr>
            <w:r>
              <w:rPr>
                <w:rFonts w:eastAsia="Yu Mincho"/>
                <w:i/>
                <w:color w:val="000000" w:themeColor="text1"/>
                <w:highlight w:val="none"/>
                <w:lang w:eastAsia="zh-CN"/>
                <w14:textFill>
                  <w14:solidFill>
                    <w14:schemeClr w14:val="tx1"/>
                  </w14:solidFill>
                </w14:textFill>
              </w:rPr>
              <w:t>•        On E-UTRA (FDD,TDD), with NR-U PCC</w:t>
            </w:r>
          </w:p>
          <w:p>
            <w:pPr>
              <w:pStyle w:val="28"/>
              <w:rPr>
                <w:rFonts w:hint="eastAsia" w:eastAsia="宋体"/>
                <w:sz w:val="22"/>
                <w:szCs w:val="22"/>
                <w:vertAlign w:val="baseline"/>
                <w:lang w:val="en-US" w:eastAsia="zh-CN"/>
              </w:rPr>
            </w:pPr>
            <w:r>
              <w:rPr>
                <w:rFonts w:eastAsia="Yu Mincho"/>
                <w:i/>
                <w:color w:val="000000" w:themeColor="text1"/>
                <w:highlight w:val="none"/>
                <w:lang w:eastAsia="zh-CN"/>
                <w14:textFill>
                  <w14:solidFill>
                    <w14:schemeClr w14:val="tx1"/>
                  </w14:solidFill>
                </w14:textFill>
              </w:rPr>
              <w:t>•        On E-UTRA (FDD,TDD), with NR-U PSCC</w:t>
            </w:r>
          </w:p>
        </w:tc>
      </w:tr>
    </w:tbl>
    <w:p>
      <w:pPr>
        <w:pStyle w:val="38"/>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provides our view on this topic.</w:t>
      </w:r>
    </w:p>
    <w:p>
      <w:pPr>
        <w:pStyle w:val="30"/>
        <w:jc w:val="both"/>
        <w:rPr>
          <w:rFonts w:hint="default" w:eastAsia="宋体"/>
          <w:lang w:val="en-US" w:eastAsia="zh-CN"/>
        </w:rPr>
      </w:pPr>
      <w:r>
        <w:t>2</w:t>
      </w:r>
      <w:r>
        <w:tab/>
      </w:r>
      <w:r>
        <w:rPr>
          <w:rFonts w:hint="eastAsia"/>
          <w:lang w:val="en-US" w:eastAsia="zh-CN"/>
        </w:rPr>
        <w:t>Discussion</w:t>
      </w:r>
    </w:p>
    <w:p>
      <w:pPr>
        <w:rPr>
          <w:rFonts w:hint="default" w:eastAsia="宋体"/>
          <w:sz w:val="22"/>
          <w:szCs w:val="22"/>
          <w:lang w:val="en-US" w:eastAsia="zh-CN"/>
        </w:rPr>
      </w:pPr>
      <w:r>
        <w:rPr>
          <w:rFonts w:hint="eastAsia" w:eastAsia="宋体"/>
          <w:sz w:val="22"/>
          <w:szCs w:val="22"/>
          <w:lang w:val="en-US" w:eastAsia="zh-CN"/>
        </w:rPr>
        <w:t>For inter-frequency measurements, some companies suggested not to define test cases for SS-SINR and SS-RSRQ but only specify test cases for SS-RSRP. The proposal was backed by the argument that SS-RSRP already reflects the UE capability and essential functions and if the UE can pass the tests for SS-RSRP then the UE is assumed to be able to meet requirements for SS-SINR and SS-RSRQ as well, and thus, no need to specify test cases for SS-SINR and SS-RSRQ.</w:t>
      </w:r>
    </w:p>
    <w:p>
      <w:pPr>
        <w:rPr>
          <w:rFonts w:hint="default" w:eastAsia="宋体"/>
          <w:sz w:val="22"/>
          <w:szCs w:val="22"/>
          <w:lang w:val="en-US" w:eastAsia="zh-CN"/>
        </w:rPr>
      </w:pPr>
      <w:r>
        <w:rPr>
          <w:rFonts w:hint="eastAsia" w:eastAsia="宋体"/>
          <w:sz w:val="22"/>
          <w:szCs w:val="22"/>
          <w:lang w:val="en-US" w:eastAsia="zh-CN"/>
        </w:rPr>
        <w:t>We don</w:t>
      </w:r>
      <w:r>
        <w:rPr>
          <w:rFonts w:hint="default" w:eastAsia="宋体"/>
          <w:sz w:val="22"/>
          <w:szCs w:val="22"/>
          <w:lang w:val="en-US" w:eastAsia="zh-CN"/>
        </w:rPr>
        <w:t>’</w:t>
      </w:r>
      <w:r>
        <w:rPr>
          <w:rFonts w:hint="eastAsia" w:eastAsia="宋体"/>
          <w:sz w:val="22"/>
          <w:szCs w:val="22"/>
          <w:lang w:val="en-US" w:eastAsia="zh-CN"/>
        </w:rPr>
        <w:t xml:space="preserve">t agree with the above argument and think that test cases for SS-SINR and SS-RSRQ shall be specified. First of all, as a principle when defining core requirements / performance requirements / test cases, NR-U related requirements or test cases always take that of R15 UEs as baseline. This is because the goal of NR-U WI is to allow the network to work on unlicensed frequency bands while still provide services at a same standard with NR (whereas possible, for instance when no LBT failure occurs). </w:t>
      </w:r>
    </w:p>
    <w:p>
      <w:pPr>
        <w:pStyle w:val="38"/>
        <w:rPr>
          <w:rFonts w:hint="default"/>
          <w:lang w:val="en-US" w:eastAsia="zh-CN"/>
        </w:rPr>
      </w:pPr>
      <w:r>
        <w:rPr>
          <w:rFonts w:hint="eastAsia" w:eastAsia="宋体"/>
          <w:sz w:val="22"/>
          <w:szCs w:val="22"/>
          <w:lang w:val="en-US" w:eastAsia="zh-CN"/>
        </w:rPr>
        <w:t>When defining test cases for features in NR-U, R15 UE test cases shall be taken as baseline.</w:t>
      </w:r>
    </w:p>
    <w:p>
      <w:pPr>
        <w:rPr>
          <w:rFonts w:hint="default" w:eastAsia="宋体"/>
          <w:sz w:val="22"/>
          <w:szCs w:val="22"/>
          <w:lang w:val="en-US" w:eastAsia="zh-CN"/>
        </w:rPr>
      </w:pPr>
      <w:r>
        <w:rPr>
          <w:rFonts w:hint="eastAsia" w:eastAsia="宋体"/>
          <w:sz w:val="22"/>
          <w:szCs w:val="22"/>
          <w:lang w:val="en-US" w:eastAsia="zh-CN"/>
        </w:rPr>
        <w:t>If the above proposal is agreeable then the test cases for SS-SINR and SS-RSRQ shall also be specified. This is simply due to the fact in test cases for legacy UEs, test cases for SS-SINR and SS-RSRQ are specified along with SS-RSRP.</w:t>
      </w:r>
    </w:p>
    <w:p>
      <w:pPr>
        <w:rPr>
          <w:rFonts w:hint="default" w:eastAsia="宋体"/>
          <w:sz w:val="22"/>
          <w:szCs w:val="22"/>
          <w:lang w:val="en-US" w:eastAsia="zh-CN"/>
        </w:rPr>
      </w:pPr>
      <w:r>
        <w:rPr>
          <w:rFonts w:hint="eastAsia" w:eastAsia="宋体"/>
          <w:sz w:val="22"/>
          <w:szCs w:val="22"/>
          <w:lang w:val="en-US" w:eastAsia="zh-CN"/>
        </w:rPr>
        <w:t>Another angle to look at this issue would be if the UE can be assumed to meet requirements for SS-SINR and SS-RSRQ conditioned that the UE passes tests for SS-RSRP, then it doesn</w:t>
      </w:r>
      <w:r>
        <w:rPr>
          <w:rFonts w:hint="default" w:eastAsia="宋体"/>
          <w:sz w:val="22"/>
          <w:szCs w:val="22"/>
          <w:lang w:val="en-US" w:eastAsia="zh-CN"/>
        </w:rPr>
        <w:t>’</w:t>
      </w:r>
      <w:r>
        <w:rPr>
          <w:rFonts w:hint="eastAsia" w:eastAsia="宋体"/>
          <w:sz w:val="22"/>
          <w:szCs w:val="22"/>
          <w:lang w:val="en-US" w:eastAsia="zh-CN"/>
        </w:rPr>
        <w:t xml:space="preserve">t mean much burden for the UE to also be tested for SS-SINR and SS-RSRQ since no extra implementation is required. </w:t>
      </w:r>
    </w:p>
    <w:p>
      <w:pPr>
        <w:pStyle w:val="38"/>
        <w:rPr>
          <w:rFonts w:hint="default"/>
          <w:lang w:val="en-US" w:eastAsia="zh-CN"/>
        </w:rPr>
      </w:pPr>
      <w:r>
        <w:rPr>
          <w:rFonts w:hint="eastAsia" w:eastAsia="宋体"/>
          <w:sz w:val="22"/>
          <w:szCs w:val="22"/>
          <w:lang w:val="en-US" w:eastAsia="zh-CN"/>
        </w:rPr>
        <w:t>RAN4 shall define test cases for SS-SINR and SS-RSRQ for inter-frequency and inter-RAT measurements.</w:t>
      </w:r>
    </w:p>
    <w:p>
      <w:pPr>
        <w:pStyle w:val="30"/>
        <w:jc w:val="both"/>
      </w:pPr>
      <w:r>
        <w:rPr>
          <w:rFonts w:hint="eastAsia"/>
          <w:lang w:val="en-US" w:eastAsia="zh-CN"/>
        </w:rPr>
        <w:t>3</w:t>
      </w:r>
      <w:r>
        <w:tab/>
      </w:r>
      <w:r>
        <w:t>Conclusion</w:t>
      </w:r>
    </w:p>
    <w:p>
      <w:pPr>
        <w:rPr>
          <w:rFonts w:hint="eastAsia"/>
          <w:b/>
          <w:bCs w:val="0"/>
          <w:sz w:val="22"/>
          <w:szCs w:val="22"/>
          <w:lang w:val="en-US" w:eastAsia="zh-CN"/>
        </w:rPr>
      </w:pPr>
      <w:r>
        <w:rPr>
          <w:rFonts w:hint="eastAsia"/>
          <w:b/>
          <w:bCs w:val="0"/>
          <w:sz w:val="22"/>
          <w:szCs w:val="22"/>
          <w:lang w:val="en-US" w:eastAsia="zh-CN"/>
        </w:rPr>
        <w:t xml:space="preserve">Proposal 1: </w:t>
      </w:r>
      <w:r>
        <w:rPr>
          <w:rFonts w:hint="eastAsia" w:eastAsia="宋体"/>
          <w:b/>
          <w:bCs/>
          <w:sz w:val="22"/>
          <w:szCs w:val="22"/>
          <w:lang w:val="en-US" w:eastAsia="zh-CN"/>
        </w:rPr>
        <w:t>When defining test cases for features in NR-U, R15 UE test cases shall be taken as baseline</w:t>
      </w:r>
      <w:r>
        <w:rPr>
          <w:rFonts w:hint="eastAsia"/>
          <w:b/>
          <w:bCs w:val="0"/>
          <w:sz w:val="22"/>
          <w:szCs w:val="22"/>
          <w:lang w:val="en-US" w:eastAsia="zh-CN"/>
        </w:rPr>
        <w:t>.</w:t>
      </w:r>
    </w:p>
    <w:p>
      <w:pPr>
        <w:rPr>
          <w:rFonts w:hint="eastAsia"/>
          <w:b/>
          <w:bCs w:val="0"/>
          <w:sz w:val="22"/>
          <w:szCs w:val="22"/>
          <w:lang w:val="en-US" w:eastAsia="zh-CN"/>
        </w:rPr>
      </w:pPr>
      <w:r>
        <w:rPr>
          <w:rFonts w:hint="eastAsia"/>
          <w:b/>
          <w:bCs w:val="0"/>
          <w:sz w:val="22"/>
          <w:szCs w:val="22"/>
          <w:lang w:val="en-US" w:eastAsia="zh-CN"/>
        </w:rPr>
        <w:t>Proposal 2</w:t>
      </w:r>
      <w:bookmarkStart w:id="4" w:name="_GoBack"/>
      <w:bookmarkEnd w:id="4"/>
      <w:r>
        <w:rPr>
          <w:rFonts w:hint="eastAsia"/>
          <w:b/>
          <w:bCs w:val="0"/>
          <w:sz w:val="22"/>
          <w:szCs w:val="22"/>
          <w:lang w:val="en-US" w:eastAsia="zh-CN"/>
        </w:rPr>
        <w:t xml:space="preserve">: </w:t>
      </w:r>
      <w:r>
        <w:rPr>
          <w:rFonts w:hint="eastAsia" w:eastAsia="宋体"/>
          <w:b/>
          <w:bCs/>
          <w:sz w:val="22"/>
          <w:szCs w:val="22"/>
          <w:lang w:val="en-US" w:eastAsia="zh-CN"/>
        </w:rPr>
        <w:t>RAN4 shall define test cases for SS-SINR and SS-RSRQ for inter-frequency and inter-RAT measurements.</w:t>
      </w:r>
    </w:p>
    <w:p>
      <w:pPr>
        <w:pStyle w:val="30"/>
        <w:jc w:val="both"/>
      </w:pPr>
      <w:r>
        <w:t>References</w:t>
      </w:r>
    </w:p>
    <w:p>
      <w:pPr>
        <w:numPr>
          <w:ilvl w:val="0"/>
          <w:numId w:val="9"/>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R4-2017089</w:t>
      </w:r>
    </w:p>
    <w:p>
      <w:pPr>
        <w:numPr>
          <w:ilvl w:val="0"/>
          <w:numId w:val="9"/>
        </w:numPr>
        <w:overflowPunct w:val="0"/>
        <w:autoSpaceDE w:val="0"/>
        <w:autoSpaceDN w:val="0"/>
        <w:adjustRightInd w:val="0"/>
        <w:spacing w:after="120" w:line="240" w:lineRule="auto"/>
        <w:jc w:val="both"/>
        <w:textAlignment w:val="baseline"/>
        <w:rPr>
          <w:rFonts w:hint="eastAsia" w:eastAsia="宋体"/>
          <w:lang w:val="en-US" w:eastAsia="zh-CN"/>
        </w:rPr>
      </w:pP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Malgun Gothic">
    <w:panose1 w:val="020B0503020000020004"/>
    <w:charset w:val="81"/>
    <w:family w:val="swiss"/>
    <w:pitch w:val="default"/>
    <w:sig w:usb0="900002AF" w:usb1="01D77CFB" w:usb2="00000012" w:usb3="00000000" w:csb0="00080001"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Yu Mincho">
    <w:altName w:val="MS Mincho"/>
    <w:panose1 w:val="00000000000000000000"/>
    <w:charset w:val="80"/>
    <w:family w:val="roman"/>
    <w:pitch w:val="default"/>
    <w:sig w:usb0="00000000" w:usb1="00000000" w:usb2="00000012" w:usb3="00000000" w:csb0="0002009F" w:csb1="00000000"/>
  </w:font>
  <w:font w:name="Calibri">
    <w:panose1 w:val="020F0502020204030204"/>
    <w:charset w:val="00"/>
    <w:family w:val="auto"/>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82EEE"/>
    <w:multiLevelType w:val="multilevel"/>
    <w:tmpl w:val="01582EEE"/>
    <w:lvl w:ilvl="0" w:tentative="0">
      <w:start w:val="1"/>
      <w:numFmt w:val="bullet"/>
      <w:lvlText w:val="•"/>
      <w:lvlJc w:val="left"/>
      <w:pPr>
        <w:tabs>
          <w:tab w:val="left" w:pos="1212"/>
        </w:tabs>
        <w:ind w:left="1212" w:hanging="360"/>
      </w:pPr>
      <w:rPr>
        <w:rFonts w:hint="default" w:ascii="Arial" w:hAnsi="Arial"/>
      </w:rPr>
    </w:lvl>
    <w:lvl w:ilvl="1" w:tentative="0">
      <w:start w:val="0"/>
      <w:numFmt w:val="bullet"/>
      <w:lvlText w:val="•"/>
      <w:lvlJc w:val="left"/>
      <w:pPr>
        <w:tabs>
          <w:tab w:val="left" w:pos="1932"/>
        </w:tabs>
        <w:ind w:left="1932" w:hanging="360"/>
      </w:pPr>
      <w:rPr>
        <w:rFonts w:hint="default" w:ascii="Arial" w:hAnsi="Arial"/>
      </w:rPr>
    </w:lvl>
    <w:lvl w:ilvl="2" w:tentative="0">
      <w:start w:val="0"/>
      <w:numFmt w:val="bullet"/>
      <w:lvlText w:val="•"/>
      <w:lvlJc w:val="left"/>
      <w:pPr>
        <w:tabs>
          <w:tab w:val="left" w:pos="2652"/>
        </w:tabs>
        <w:ind w:left="2652" w:hanging="360"/>
      </w:pPr>
      <w:rPr>
        <w:rFonts w:hint="default" w:ascii="Arial" w:hAnsi="Arial"/>
      </w:rPr>
    </w:lvl>
    <w:lvl w:ilvl="3" w:tentative="0">
      <w:start w:val="1"/>
      <w:numFmt w:val="bullet"/>
      <w:lvlText w:val="•"/>
      <w:lvlJc w:val="left"/>
      <w:pPr>
        <w:tabs>
          <w:tab w:val="left" w:pos="3372"/>
        </w:tabs>
        <w:ind w:left="3372" w:hanging="360"/>
      </w:pPr>
      <w:rPr>
        <w:rFonts w:hint="default" w:ascii="Arial" w:hAnsi="Arial"/>
      </w:rPr>
    </w:lvl>
    <w:lvl w:ilvl="4" w:tentative="0">
      <w:start w:val="1"/>
      <w:numFmt w:val="bullet"/>
      <w:lvlText w:val="•"/>
      <w:lvlJc w:val="left"/>
      <w:pPr>
        <w:tabs>
          <w:tab w:val="left" w:pos="4092"/>
        </w:tabs>
        <w:ind w:left="4092" w:hanging="360"/>
      </w:pPr>
      <w:rPr>
        <w:rFonts w:hint="default" w:ascii="Arial" w:hAnsi="Arial"/>
      </w:rPr>
    </w:lvl>
    <w:lvl w:ilvl="5" w:tentative="0">
      <w:start w:val="1"/>
      <w:numFmt w:val="bullet"/>
      <w:lvlText w:val="•"/>
      <w:lvlJc w:val="left"/>
      <w:pPr>
        <w:tabs>
          <w:tab w:val="left" w:pos="4812"/>
        </w:tabs>
        <w:ind w:left="4812" w:hanging="360"/>
      </w:pPr>
      <w:rPr>
        <w:rFonts w:hint="default" w:ascii="Arial" w:hAnsi="Arial"/>
      </w:rPr>
    </w:lvl>
    <w:lvl w:ilvl="6" w:tentative="0">
      <w:start w:val="1"/>
      <w:numFmt w:val="bullet"/>
      <w:lvlText w:val="•"/>
      <w:lvlJc w:val="left"/>
      <w:pPr>
        <w:tabs>
          <w:tab w:val="left" w:pos="5532"/>
        </w:tabs>
        <w:ind w:left="5532" w:hanging="360"/>
      </w:pPr>
      <w:rPr>
        <w:rFonts w:hint="default" w:ascii="Arial" w:hAnsi="Arial"/>
      </w:rPr>
    </w:lvl>
    <w:lvl w:ilvl="7" w:tentative="0">
      <w:start w:val="1"/>
      <w:numFmt w:val="bullet"/>
      <w:lvlText w:val="•"/>
      <w:lvlJc w:val="left"/>
      <w:pPr>
        <w:tabs>
          <w:tab w:val="left" w:pos="6252"/>
        </w:tabs>
        <w:ind w:left="6252" w:hanging="360"/>
      </w:pPr>
      <w:rPr>
        <w:rFonts w:hint="default" w:ascii="Arial" w:hAnsi="Arial"/>
      </w:rPr>
    </w:lvl>
    <w:lvl w:ilvl="8" w:tentative="0">
      <w:start w:val="1"/>
      <w:numFmt w:val="bullet"/>
      <w:lvlText w:val="•"/>
      <w:lvlJc w:val="left"/>
      <w:pPr>
        <w:tabs>
          <w:tab w:val="left" w:pos="6972"/>
        </w:tabs>
        <w:ind w:left="6972" w:hanging="360"/>
      </w:pPr>
      <w:rPr>
        <w:rFonts w:hint="default" w:ascii="Arial" w:hAnsi="Arial"/>
      </w:rPr>
    </w:lvl>
  </w:abstractNum>
  <w:abstractNum w:abstractNumId="1">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0F004BD"/>
    <w:multiLevelType w:val="multilevel"/>
    <w:tmpl w:val="40F004B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46B43B9D"/>
    <w:multiLevelType w:val="multilevel"/>
    <w:tmpl w:val="46B43B9D"/>
    <w:lvl w:ilvl="0" w:tentative="0">
      <w:start w:val="1"/>
      <w:numFmt w:val="decimal"/>
      <w:pStyle w:val="32"/>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48883B9C"/>
    <w:multiLevelType w:val="multilevel"/>
    <w:tmpl w:val="48883B9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4D6E3167"/>
    <w:multiLevelType w:val="multilevel"/>
    <w:tmpl w:val="4D6E3167"/>
    <w:lvl w:ilvl="0" w:tentative="0">
      <w:start w:val="1"/>
      <w:numFmt w:val="decimal"/>
      <w:pStyle w:val="38"/>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4DA44281"/>
    <w:multiLevelType w:val="multilevel"/>
    <w:tmpl w:val="4DA44281"/>
    <w:lvl w:ilvl="0" w:tentative="0">
      <w:start w:val="1"/>
      <w:numFmt w:val="decimal"/>
      <w:pStyle w:val="34"/>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521F44A7"/>
    <w:multiLevelType w:val="multilevel"/>
    <w:tmpl w:val="521F44A7"/>
    <w:lvl w:ilvl="0" w:tentative="0">
      <w:start w:val="1"/>
      <w:numFmt w:val="bullet"/>
      <w:pStyle w:val="53"/>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0146DC0"/>
    <w:multiLevelType w:val="multilevel"/>
    <w:tmpl w:val="70146DC0"/>
    <w:lvl w:ilvl="0" w:tentative="0">
      <w:start w:val="1"/>
      <w:numFmt w:val="bullet"/>
      <w:pStyle w:val="4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3"/>
  </w:num>
  <w:num w:numId="2">
    <w:abstractNumId w:val="6"/>
  </w:num>
  <w:num w:numId="3">
    <w:abstractNumId w:val="5"/>
  </w:num>
  <w:num w:numId="4">
    <w:abstractNumId w:val="8"/>
  </w:num>
  <w:num w:numId="5">
    <w:abstractNumId w:val="7"/>
  </w:num>
  <w:num w:numId="6">
    <w:abstractNumId w:val="2"/>
  </w:num>
  <w:num w:numId="7">
    <w:abstractNumId w:val="4"/>
  </w:num>
  <w:num w:numId="8">
    <w:abstractNumId w:val="0"/>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6552"/>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8676F2"/>
    <w:rsid w:val="02B274E2"/>
    <w:rsid w:val="02BD7990"/>
    <w:rsid w:val="02C25D33"/>
    <w:rsid w:val="030809EC"/>
    <w:rsid w:val="039A1BDA"/>
    <w:rsid w:val="03AE4991"/>
    <w:rsid w:val="03C6506D"/>
    <w:rsid w:val="03F37217"/>
    <w:rsid w:val="047B40B2"/>
    <w:rsid w:val="04C77D0A"/>
    <w:rsid w:val="04D5204C"/>
    <w:rsid w:val="051F0641"/>
    <w:rsid w:val="059B61E4"/>
    <w:rsid w:val="05A86143"/>
    <w:rsid w:val="05D42FA6"/>
    <w:rsid w:val="06105DAC"/>
    <w:rsid w:val="066957D5"/>
    <w:rsid w:val="068A29F7"/>
    <w:rsid w:val="069766CC"/>
    <w:rsid w:val="06C76332"/>
    <w:rsid w:val="07502CA2"/>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7322DC"/>
    <w:rsid w:val="0BB77882"/>
    <w:rsid w:val="0C2A1653"/>
    <w:rsid w:val="0C3C5307"/>
    <w:rsid w:val="0C56263C"/>
    <w:rsid w:val="0C5E2B8A"/>
    <w:rsid w:val="0D102274"/>
    <w:rsid w:val="0D295CDF"/>
    <w:rsid w:val="0DA958CA"/>
    <w:rsid w:val="0DF104D3"/>
    <w:rsid w:val="0E1C586B"/>
    <w:rsid w:val="0E8A024B"/>
    <w:rsid w:val="0ED138E6"/>
    <w:rsid w:val="0F130B06"/>
    <w:rsid w:val="0F67780F"/>
    <w:rsid w:val="0F8F3C2A"/>
    <w:rsid w:val="0FB648CB"/>
    <w:rsid w:val="0FD0731A"/>
    <w:rsid w:val="0FF1533A"/>
    <w:rsid w:val="0FFE0AFA"/>
    <w:rsid w:val="1000683B"/>
    <w:rsid w:val="10732202"/>
    <w:rsid w:val="10860ED5"/>
    <w:rsid w:val="10996B78"/>
    <w:rsid w:val="10AA3C13"/>
    <w:rsid w:val="10CA41CF"/>
    <w:rsid w:val="10CD0B75"/>
    <w:rsid w:val="110C4D24"/>
    <w:rsid w:val="11283655"/>
    <w:rsid w:val="113B0066"/>
    <w:rsid w:val="11B5132B"/>
    <w:rsid w:val="11F71F3A"/>
    <w:rsid w:val="122017FC"/>
    <w:rsid w:val="12753179"/>
    <w:rsid w:val="128409CA"/>
    <w:rsid w:val="12BB3A94"/>
    <w:rsid w:val="12EF585C"/>
    <w:rsid w:val="13262572"/>
    <w:rsid w:val="136D11EC"/>
    <w:rsid w:val="137D50D6"/>
    <w:rsid w:val="139B3B65"/>
    <w:rsid w:val="13A62830"/>
    <w:rsid w:val="13D36053"/>
    <w:rsid w:val="13F75352"/>
    <w:rsid w:val="13FA5349"/>
    <w:rsid w:val="141E7377"/>
    <w:rsid w:val="1480544B"/>
    <w:rsid w:val="14A25B1A"/>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07856"/>
    <w:rsid w:val="176F5C05"/>
    <w:rsid w:val="17A076C4"/>
    <w:rsid w:val="17A62BCE"/>
    <w:rsid w:val="17E12498"/>
    <w:rsid w:val="17E826AB"/>
    <w:rsid w:val="18407C50"/>
    <w:rsid w:val="1872258F"/>
    <w:rsid w:val="18D3414F"/>
    <w:rsid w:val="18D91924"/>
    <w:rsid w:val="19831412"/>
    <w:rsid w:val="19A96435"/>
    <w:rsid w:val="19E43A3D"/>
    <w:rsid w:val="1A0B3A21"/>
    <w:rsid w:val="1A352FE3"/>
    <w:rsid w:val="1B3329B5"/>
    <w:rsid w:val="1B595D85"/>
    <w:rsid w:val="1B7F155B"/>
    <w:rsid w:val="1BAE2A00"/>
    <w:rsid w:val="1C5E2F54"/>
    <w:rsid w:val="1CA0799D"/>
    <w:rsid w:val="1CDA242C"/>
    <w:rsid w:val="1CFB2AC1"/>
    <w:rsid w:val="1D1F1294"/>
    <w:rsid w:val="1D85535E"/>
    <w:rsid w:val="1DB41841"/>
    <w:rsid w:val="1DE45821"/>
    <w:rsid w:val="1DF64986"/>
    <w:rsid w:val="1E8806BC"/>
    <w:rsid w:val="1EA137E3"/>
    <w:rsid w:val="1EC97F44"/>
    <w:rsid w:val="1F0936F5"/>
    <w:rsid w:val="1F17474D"/>
    <w:rsid w:val="1F2B10F9"/>
    <w:rsid w:val="1F711839"/>
    <w:rsid w:val="1F8A172B"/>
    <w:rsid w:val="1FA564C4"/>
    <w:rsid w:val="200D067C"/>
    <w:rsid w:val="207E0BBB"/>
    <w:rsid w:val="20811B82"/>
    <w:rsid w:val="20A662B2"/>
    <w:rsid w:val="21091739"/>
    <w:rsid w:val="211451D0"/>
    <w:rsid w:val="211B0B99"/>
    <w:rsid w:val="21402B64"/>
    <w:rsid w:val="2151075A"/>
    <w:rsid w:val="2187422D"/>
    <w:rsid w:val="219E74A3"/>
    <w:rsid w:val="22271C95"/>
    <w:rsid w:val="22571B82"/>
    <w:rsid w:val="22843CEF"/>
    <w:rsid w:val="22920D1D"/>
    <w:rsid w:val="22C0245E"/>
    <w:rsid w:val="22DF0545"/>
    <w:rsid w:val="23353704"/>
    <w:rsid w:val="23514077"/>
    <w:rsid w:val="23855295"/>
    <w:rsid w:val="23B20773"/>
    <w:rsid w:val="23CF6D67"/>
    <w:rsid w:val="248F188B"/>
    <w:rsid w:val="24BD0518"/>
    <w:rsid w:val="24E91488"/>
    <w:rsid w:val="25077EC5"/>
    <w:rsid w:val="256A021C"/>
    <w:rsid w:val="25962669"/>
    <w:rsid w:val="25C20278"/>
    <w:rsid w:val="25C545AD"/>
    <w:rsid w:val="262D62D9"/>
    <w:rsid w:val="26681CAB"/>
    <w:rsid w:val="267E5FCE"/>
    <w:rsid w:val="27572E0B"/>
    <w:rsid w:val="2762235C"/>
    <w:rsid w:val="276537E8"/>
    <w:rsid w:val="280C272A"/>
    <w:rsid w:val="28176D87"/>
    <w:rsid w:val="281B6C69"/>
    <w:rsid w:val="284E33F7"/>
    <w:rsid w:val="28686999"/>
    <w:rsid w:val="287A3770"/>
    <w:rsid w:val="28A011E1"/>
    <w:rsid w:val="28C759BF"/>
    <w:rsid w:val="290A138C"/>
    <w:rsid w:val="293606FA"/>
    <w:rsid w:val="29517179"/>
    <w:rsid w:val="29E7086A"/>
    <w:rsid w:val="2A1219AD"/>
    <w:rsid w:val="2A394321"/>
    <w:rsid w:val="2AAF72F6"/>
    <w:rsid w:val="2AE26D3F"/>
    <w:rsid w:val="2AF125AB"/>
    <w:rsid w:val="2AF8774D"/>
    <w:rsid w:val="2B0F6E62"/>
    <w:rsid w:val="2B3F4136"/>
    <w:rsid w:val="2B5F7B9D"/>
    <w:rsid w:val="2B6F3DB4"/>
    <w:rsid w:val="2B7579C5"/>
    <w:rsid w:val="2BB04900"/>
    <w:rsid w:val="2C1B2490"/>
    <w:rsid w:val="2C3A3275"/>
    <w:rsid w:val="2C446157"/>
    <w:rsid w:val="2C495744"/>
    <w:rsid w:val="2CEE6B8D"/>
    <w:rsid w:val="2D233DAE"/>
    <w:rsid w:val="2D8E403A"/>
    <w:rsid w:val="2DF9626C"/>
    <w:rsid w:val="2E145F76"/>
    <w:rsid w:val="2EA86D09"/>
    <w:rsid w:val="2ECE747D"/>
    <w:rsid w:val="2F32226B"/>
    <w:rsid w:val="2F376D10"/>
    <w:rsid w:val="2FA231C5"/>
    <w:rsid w:val="308B65F2"/>
    <w:rsid w:val="30A9337F"/>
    <w:rsid w:val="30F5782F"/>
    <w:rsid w:val="3117229F"/>
    <w:rsid w:val="31395268"/>
    <w:rsid w:val="316D08AD"/>
    <w:rsid w:val="31A50177"/>
    <w:rsid w:val="31DD775A"/>
    <w:rsid w:val="31ED10C9"/>
    <w:rsid w:val="320F0A18"/>
    <w:rsid w:val="32351CB2"/>
    <w:rsid w:val="324554E5"/>
    <w:rsid w:val="325D2B5A"/>
    <w:rsid w:val="327661FC"/>
    <w:rsid w:val="32B33B5A"/>
    <w:rsid w:val="32EE27B2"/>
    <w:rsid w:val="33372789"/>
    <w:rsid w:val="333876C2"/>
    <w:rsid w:val="33484A1E"/>
    <w:rsid w:val="335F47E9"/>
    <w:rsid w:val="33CD00C7"/>
    <w:rsid w:val="33FB17D8"/>
    <w:rsid w:val="346E4104"/>
    <w:rsid w:val="3476470C"/>
    <w:rsid w:val="34D83C16"/>
    <w:rsid w:val="34F42A3D"/>
    <w:rsid w:val="3509315E"/>
    <w:rsid w:val="351A4CC6"/>
    <w:rsid w:val="37630A6C"/>
    <w:rsid w:val="37705F34"/>
    <w:rsid w:val="377700B0"/>
    <w:rsid w:val="37857872"/>
    <w:rsid w:val="37AF7036"/>
    <w:rsid w:val="380927B5"/>
    <w:rsid w:val="381F0B0E"/>
    <w:rsid w:val="382139EC"/>
    <w:rsid w:val="3876150B"/>
    <w:rsid w:val="38831E00"/>
    <w:rsid w:val="38EF03A6"/>
    <w:rsid w:val="38F0125F"/>
    <w:rsid w:val="3900577A"/>
    <w:rsid w:val="392739EA"/>
    <w:rsid w:val="392D38AD"/>
    <w:rsid w:val="3946679B"/>
    <w:rsid w:val="394D1646"/>
    <w:rsid w:val="399A43EA"/>
    <w:rsid w:val="3A0F1960"/>
    <w:rsid w:val="3A166029"/>
    <w:rsid w:val="3A431070"/>
    <w:rsid w:val="3A6B6F88"/>
    <w:rsid w:val="3AC125B3"/>
    <w:rsid w:val="3AF216E5"/>
    <w:rsid w:val="3B0B15C3"/>
    <w:rsid w:val="3B30671A"/>
    <w:rsid w:val="3B5662AC"/>
    <w:rsid w:val="3B981241"/>
    <w:rsid w:val="3BBB2E68"/>
    <w:rsid w:val="3C2F6338"/>
    <w:rsid w:val="3CC5729E"/>
    <w:rsid w:val="3CCE203C"/>
    <w:rsid w:val="3D087EC6"/>
    <w:rsid w:val="3D0C1655"/>
    <w:rsid w:val="3D4E48C8"/>
    <w:rsid w:val="3D50421B"/>
    <w:rsid w:val="3D77737D"/>
    <w:rsid w:val="3DC04E13"/>
    <w:rsid w:val="3DD244E7"/>
    <w:rsid w:val="3E132617"/>
    <w:rsid w:val="3E1747FA"/>
    <w:rsid w:val="3E5B41D6"/>
    <w:rsid w:val="3E964B98"/>
    <w:rsid w:val="3ECE16FA"/>
    <w:rsid w:val="3F3542FD"/>
    <w:rsid w:val="3F4118C8"/>
    <w:rsid w:val="3F5C676A"/>
    <w:rsid w:val="3FF55768"/>
    <w:rsid w:val="40093B4F"/>
    <w:rsid w:val="40462AC9"/>
    <w:rsid w:val="40566CBF"/>
    <w:rsid w:val="40776BAF"/>
    <w:rsid w:val="407921CE"/>
    <w:rsid w:val="40C04FE0"/>
    <w:rsid w:val="41AA7137"/>
    <w:rsid w:val="41EC58FB"/>
    <w:rsid w:val="41F931F1"/>
    <w:rsid w:val="4231331F"/>
    <w:rsid w:val="42381A71"/>
    <w:rsid w:val="426B0C9E"/>
    <w:rsid w:val="42841694"/>
    <w:rsid w:val="429266C7"/>
    <w:rsid w:val="42AF1322"/>
    <w:rsid w:val="42B30ACF"/>
    <w:rsid w:val="42E73C10"/>
    <w:rsid w:val="43364422"/>
    <w:rsid w:val="43BC4F26"/>
    <w:rsid w:val="43EE582E"/>
    <w:rsid w:val="43FB3DA4"/>
    <w:rsid w:val="441C4006"/>
    <w:rsid w:val="449E489D"/>
    <w:rsid w:val="44B24294"/>
    <w:rsid w:val="44CF520F"/>
    <w:rsid w:val="44D50483"/>
    <w:rsid w:val="451019FB"/>
    <w:rsid w:val="45361837"/>
    <w:rsid w:val="4543370D"/>
    <w:rsid w:val="455B13AC"/>
    <w:rsid w:val="45CF3CD0"/>
    <w:rsid w:val="460567D8"/>
    <w:rsid w:val="4626023B"/>
    <w:rsid w:val="462F25DF"/>
    <w:rsid w:val="46620161"/>
    <w:rsid w:val="46C17C69"/>
    <w:rsid w:val="46E63986"/>
    <w:rsid w:val="46FC7DAE"/>
    <w:rsid w:val="47971B97"/>
    <w:rsid w:val="479F63EE"/>
    <w:rsid w:val="47C304FD"/>
    <w:rsid w:val="47C357A6"/>
    <w:rsid w:val="47D77F02"/>
    <w:rsid w:val="4815186D"/>
    <w:rsid w:val="48317030"/>
    <w:rsid w:val="485A4BA7"/>
    <w:rsid w:val="487C3875"/>
    <w:rsid w:val="48977283"/>
    <w:rsid w:val="48FA3778"/>
    <w:rsid w:val="4975258C"/>
    <w:rsid w:val="49896512"/>
    <w:rsid w:val="4996414B"/>
    <w:rsid w:val="49987D21"/>
    <w:rsid w:val="49AB0658"/>
    <w:rsid w:val="49BA3D71"/>
    <w:rsid w:val="4A5C70F1"/>
    <w:rsid w:val="4AAD275D"/>
    <w:rsid w:val="4AB61A05"/>
    <w:rsid w:val="4AF26B9D"/>
    <w:rsid w:val="4B48494A"/>
    <w:rsid w:val="4B7E5274"/>
    <w:rsid w:val="4BB65435"/>
    <w:rsid w:val="4BCE1489"/>
    <w:rsid w:val="4BCF7E55"/>
    <w:rsid w:val="4BEA1EE4"/>
    <w:rsid w:val="4C293566"/>
    <w:rsid w:val="4C4E4313"/>
    <w:rsid w:val="4C553BEB"/>
    <w:rsid w:val="4C723787"/>
    <w:rsid w:val="4C783FE1"/>
    <w:rsid w:val="4CF05EAC"/>
    <w:rsid w:val="4D102CB4"/>
    <w:rsid w:val="4D9E609E"/>
    <w:rsid w:val="4E0243C8"/>
    <w:rsid w:val="4E345636"/>
    <w:rsid w:val="4E652C5C"/>
    <w:rsid w:val="4E9105E7"/>
    <w:rsid w:val="4EB053BD"/>
    <w:rsid w:val="4FBC6FAF"/>
    <w:rsid w:val="4FDC68F3"/>
    <w:rsid w:val="4FFF46BE"/>
    <w:rsid w:val="50005DA1"/>
    <w:rsid w:val="5041435B"/>
    <w:rsid w:val="50564CCA"/>
    <w:rsid w:val="505A1CB0"/>
    <w:rsid w:val="5090049B"/>
    <w:rsid w:val="509778C7"/>
    <w:rsid w:val="51773E2A"/>
    <w:rsid w:val="51A40397"/>
    <w:rsid w:val="51C53170"/>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5CE50F9"/>
    <w:rsid w:val="561E43E8"/>
    <w:rsid w:val="56243301"/>
    <w:rsid w:val="567B20DA"/>
    <w:rsid w:val="56943FE8"/>
    <w:rsid w:val="56DA5A5F"/>
    <w:rsid w:val="577E3F1D"/>
    <w:rsid w:val="57C70008"/>
    <w:rsid w:val="584766BE"/>
    <w:rsid w:val="586B2608"/>
    <w:rsid w:val="5879595C"/>
    <w:rsid w:val="588331BE"/>
    <w:rsid w:val="592D7AE2"/>
    <w:rsid w:val="593554F0"/>
    <w:rsid w:val="59F967B7"/>
    <w:rsid w:val="5A194DBF"/>
    <w:rsid w:val="5A3078C5"/>
    <w:rsid w:val="5ADF3A74"/>
    <w:rsid w:val="5AE53367"/>
    <w:rsid w:val="5B0B0083"/>
    <w:rsid w:val="5B1254E6"/>
    <w:rsid w:val="5BC3228B"/>
    <w:rsid w:val="5BFC28DA"/>
    <w:rsid w:val="5C3B1FEA"/>
    <w:rsid w:val="5C6A01BF"/>
    <w:rsid w:val="5CEB6783"/>
    <w:rsid w:val="5D041ECD"/>
    <w:rsid w:val="5D5E1AC8"/>
    <w:rsid w:val="5E051414"/>
    <w:rsid w:val="5E206741"/>
    <w:rsid w:val="5E2D4C21"/>
    <w:rsid w:val="5E820037"/>
    <w:rsid w:val="5EE41E2E"/>
    <w:rsid w:val="5F0F00DA"/>
    <w:rsid w:val="60017F85"/>
    <w:rsid w:val="60032276"/>
    <w:rsid w:val="6045086B"/>
    <w:rsid w:val="60745B63"/>
    <w:rsid w:val="60AC01F6"/>
    <w:rsid w:val="60F64A32"/>
    <w:rsid w:val="61051332"/>
    <w:rsid w:val="62812953"/>
    <w:rsid w:val="62B7743E"/>
    <w:rsid w:val="62B8352F"/>
    <w:rsid w:val="62EF63FA"/>
    <w:rsid w:val="63061571"/>
    <w:rsid w:val="632B39DC"/>
    <w:rsid w:val="64116858"/>
    <w:rsid w:val="64550D9E"/>
    <w:rsid w:val="648D5222"/>
    <w:rsid w:val="64B2258D"/>
    <w:rsid w:val="64E30C9E"/>
    <w:rsid w:val="64E86D2F"/>
    <w:rsid w:val="657C25FC"/>
    <w:rsid w:val="65997784"/>
    <w:rsid w:val="65A976E6"/>
    <w:rsid w:val="65C64C37"/>
    <w:rsid w:val="65D01190"/>
    <w:rsid w:val="66197BB5"/>
    <w:rsid w:val="66AB371C"/>
    <w:rsid w:val="66AE1192"/>
    <w:rsid w:val="66CA69C3"/>
    <w:rsid w:val="6794708A"/>
    <w:rsid w:val="67CE0CE2"/>
    <w:rsid w:val="67DA4215"/>
    <w:rsid w:val="67E42DFA"/>
    <w:rsid w:val="67ED44CB"/>
    <w:rsid w:val="681D58BA"/>
    <w:rsid w:val="68EB3ADC"/>
    <w:rsid w:val="69240005"/>
    <w:rsid w:val="69462386"/>
    <w:rsid w:val="695E51BF"/>
    <w:rsid w:val="69C96ADD"/>
    <w:rsid w:val="69DC5A3B"/>
    <w:rsid w:val="69E50464"/>
    <w:rsid w:val="6A2F06BE"/>
    <w:rsid w:val="6A7016FE"/>
    <w:rsid w:val="6AFC6812"/>
    <w:rsid w:val="6B5E2EC6"/>
    <w:rsid w:val="6B7575DB"/>
    <w:rsid w:val="6C42065A"/>
    <w:rsid w:val="6C6F44FD"/>
    <w:rsid w:val="6C9E7796"/>
    <w:rsid w:val="6CB759F8"/>
    <w:rsid w:val="6CD4731D"/>
    <w:rsid w:val="6D121910"/>
    <w:rsid w:val="6D3205F0"/>
    <w:rsid w:val="6D4C048E"/>
    <w:rsid w:val="6D862B60"/>
    <w:rsid w:val="6DB702B4"/>
    <w:rsid w:val="6E4462CC"/>
    <w:rsid w:val="6E504618"/>
    <w:rsid w:val="6EB20078"/>
    <w:rsid w:val="6F5579D7"/>
    <w:rsid w:val="6F801AF8"/>
    <w:rsid w:val="6F8D5AAE"/>
    <w:rsid w:val="6FFF59CB"/>
    <w:rsid w:val="70160759"/>
    <w:rsid w:val="70200B37"/>
    <w:rsid w:val="7037013D"/>
    <w:rsid w:val="704E4A67"/>
    <w:rsid w:val="70995673"/>
    <w:rsid w:val="70AA0AC2"/>
    <w:rsid w:val="70AA24EA"/>
    <w:rsid w:val="70B97CE8"/>
    <w:rsid w:val="70D46C56"/>
    <w:rsid w:val="70EA7511"/>
    <w:rsid w:val="71143E21"/>
    <w:rsid w:val="71616F10"/>
    <w:rsid w:val="71C93578"/>
    <w:rsid w:val="72867A39"/>
    <w:rsid w:val="72EE3608"/>
    <w:rsid w:val="72F37E30"/>
    <w:rsid w:val="7327462F"/>
    <w:rsid w:val="732F59FD"/>
    <w:rsid w:val="734B5574"/>
    <w:rsid w:val="7355417D"/>
    <w:rsid w:val="736C3FBB"/>
    <w:rsid w:val="73A85DC8"/>
    <w:rsid w:val="73C54686"/>
    <w:rsid w:val="73D14742"/>
    <w:rsid w:val="73E217DB"/>
    <w:rsid w:val="740F6E24"/>
    <w:rsid w:val="74285611"/>
    <w:rsid w:val="7430057A"/>
    <w:rsid w:val="74573DE9"/>
    <w:rsid w:val="74626087"/>
    <w:rsid w:val="749D37F7"/>
    <w:rsid w:val="74BC6C8B"/>
    <w:rsid w:val="74D53B99"/>
    <w:rsid w:val="754C1AAF"/>
    <w:rsid w:val="762B3711"/>
    <w:rsid w:val="7666525A"/>
    <w:rsid w:val="76696B17"/>
    <w:rsid w:val="76696D01"/>
    <w:rsid w:val="76991F3B"/>
    <w:rsid w:val="76BD4E1F"/>
    <w:rsid w:val="76D8737F"/>
    <w:rsid w:val="76E279D7"/>
    <w:rsid w:val="7718204C"/>
    <w:rsid w:val="772E0626"/>
    <w:rsid w:val="7752184A"/>
    <w:rsid w:val="7754709D"/>
    <w:rsid w:val="776E285A"/>
    <w:rsid w:val="77B02D8D"/>
    <w:rsid w:val="77B23404"/>
    <w:rsid w:val="77C0093D"/>
    <w:rsid w:val="77C90B9C"/>
    <w:rsid w:val="77EF22D8"/>
    <w:rsid w:val="78204380"/>
    <w:rsid w:val="78384CBC"/>
    <w:rsid w:val="784258BF"/>
    <w:rsid w:val="78E07009"/>
    <w:rsid w:val="79185E1C"/>
    <w:rsid w:val="793758F2"/>
    <w:rsid w:val="79C0590F"/>
    <w:rsid w:val="7A080BBF"/>
    <w:rsid w:val="7A4F2396"/>
    <w:rsid w:val="7A787ECB"/>
    <w:rsid w:val="7A875FC6"/>
    <w:rsid w:val="7A8B51CB"/>
    <w:rsid w:val="7A984514"/>
    <w:rsid w:val="7AB507FA"/>
    <w:rsid w:val="7AC634CB"/>
    <w:rsid w:val="7ACB482C"/>
    <w:rsid w:val="7AF137EF"/>
    <w:rsid w:val="7B2531D6"/>
    <w:rsid w:val="7B5B11D8"/>
    <w:rsid w:val="7C41564D"/>
    <w:rsid w:val="7C8E16C9"/>
    <w:rsid w:val="7CA10AF6"/>
    <w:rsid w:val="7CB561C0"/>
    <w:rsid w:val="7CCC277F"/>
    <w:rsid w:val="7CE3033A"/>
    <w:rsid w:val="7D0A2590"/>
    <w:rsid w:val="7D550752"/>
    <w:rsid w:val="7D6A7A29"/>
    <w:rsid w:val="7DA0035E"/>
    <w:rsid w:val="7DCC5A45"/>
    <w:rsid w:val="7E630B4F"/>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ms Rmn" w:hAnsi="Tms Rm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qFormat="1" w:unhideWhenUsed="0" w:uiPriority="0" w:semiHidden="0" w:name="List 3"/>
    <w:lsdException w:qFormat="1"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7"/>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6"/>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5"/>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6">
    <w:name w:val="List 3"/>
    <w:basedOn w:val="7"/>
    <w:qFormat/>
    <w:uiPriority w:val="0"/>
    <w:pPr>
      <w:ind w:left="1135"/>
    </w:pPr>
  </w:style>
  <w:style w:type="paragraph" w:styleId="7">
    <w:name w:val="List 2"/>
    <w:basedOn w:val="8"/>
    <w:semiHidden/>
    <w:unhideWhenUsed/>
    <w:qFormat/>
    <w:uiPriority w:val="99"/>
    <w:pPr>
      <w:ind w:left="566" w:hanging="283"/>
      <w:contextualSpacing/>
    </w:pPr>
  </w:style>
  <w:style w:type="paragraph" w:styleId="8">
    <w:name w:val="List"/>
    <w:basedOn w:val="1"/>
    <w:qFormat/>
    <w:uiPriority w:val="0"/>
    <w:pPr>
      <w:ind w:left="568" w:hanging="284"/>
    </w:pPr>
  </w:style>
  <w:style w:type="paragraph" w:styleId="9">
    <w:name w:val="caption"/>
    <w:basedOn w:val="1"/>
    <w:next w:val="1"/>
    <w:link w:val="40"/>
    <w:unhideWhenUsed/>
    <w:qFormat/>
    <w:uiPriority w:val="35"/>
    <w:pPr>
      <w:spacing w:after="200" w:line="240" w:lineRule="auto"/>
      <w:jc w:val="center"/>
    </w:pPr>
    <w:rPr>
      <w:rFonts w:ascii="Arial" w:hAnsi="Arial"/>
      <w:i/>
      <w:iCs/>
      <w:sz w:val="18"/>
      <w:szCs w:val="18"/>
    </w:rPr>
  </w:style>
  <w:style w:type="paragraph" w:styleId="10">
    <w:name w:val="annotation text"/>
    <w:basedOn w:val="1"/>
    <w:link w:val="60"/>
    <w:semiHidden/>
    <w:unhideWhenUsed/>
    <w:qFormat/>
    <w:uiPriority w:val="99"/>
    <w:pPr>
      <w:spacing w:line="240" w:lineRule="auto"/>
    </w:pPr>
    <w:rPr>
      <w:szCs w:val="20"/>
    </w:rPr>
  </w:style>
  <w:style w:type="paragraph" w:styleId="11">
    <w:name w:val="Body Text"/>
    <w:basedOn w:val="1"/>
    <w:link w:val="48"/>
    <w:semiHidden/>
    <w:unhideWhenUsed/>
    <w:qFormat/>
    <w:uiPriority w:val="0"/>
    <w:pPr>
      <w:spacing w:after="120" w:line="256" w:lineRule="auto"/>
      <w:jc w:val="both"/>
    </w:pPr>
    <w:rPr>
      <w:rFonts w:ascii="Arial" w:hAnsi="Arial"/>
      <w:sz w:val="22"/>
      <w:lang w:val="da-DK" w:eastAsia="zh-CN"/>
    </w:rPr>
  </w:style>
  <w:style w:type="paragraph" w:styleId="12">
    <w:name w:val="Balloon Text"/>
    <w:basedOn w:val="1"/>
    <w:link w:val="57"/>
    <w:semiHidden/>
    <w:unhideWhenUsed/>
    <w:qFormat/>
    <w:uiPriority w:val="99"/>
    <w:pPr>
      <w:spacing w:after="0" w:line="240" w:lineRule="auto"/>
    </w:pPr>
    <w:rPr>
      <w:rFonts w:ascii="Segoe UI" w:hAnsi="Segoe UI" w:cs="Segoe UI"/>
      <w:sz w:val="18"/>
      <w:szCs w:val="18"/>
    </w:rPr>
  </w:style>
  <w:style w:type="paragraph" w:styleId="13">
    <w:name w:val="header"/>
    <w:basedOn w:val="1"/>
    <w:link w:val="55"/>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4">
    <w:name w:val="toc 1"/>
    <w:basedOn w:val="1"/>
    <w:next w:val="1"/>
    <w:unhideWhenUsed/>
    <w:qFormat/>
    <w:uiPriority w:val="39"/>
    <w:pPr>
      <w:spacing w:after="100"/>
    </w:pPr>
  </w:style>
  <w:style w:type="paragraph" w:styleId="15">
    <w:name w:val="List 5"/>
    <w:basedOn w:val="16"/>
    <w:qFormat/>
    <w:uiPriority w:val="0"/>
    <w:pPr>
      <w:ind w:left="1702"/>
    </w:pPr>
  </w:style>
  <w:style w:type="paragraph" w:styleId="16">
    <w:name w:val="List 4"/>
    <w:basedOn w:val="6"/>
    <w:qFormat/>
    <w:uiPriority w:val="0"/>
    <w:pPr>
      <w:ind w:left="1418"/>
    </w:pPr>
  </w:style>
  <w:style w:type="paragraph" w:styleId="17">
    <w:name w:val="table of figures"/>
    <w:basedOn w:val="1"/>
    <w:next w:val="1"/>
    <w:unhideWhenUsed/>
    <w:qFormat/>
    <w:uiPriority w:val="99"/>
    <w:pPr>
      <w:spacing w:after="0"/>
    </w:pPr>
  </w:style>
  <w:style w:type="paragraph" w:styleId="18">
    <w:name w:val="toc 2"/>
    <w:basedOn w:val="1"/>
    <w:next w:val="1"/>
    <w:unhideWhenUsed/>
    <w:qFormat/>
    <w:uiPriority w:val="39"/>
    <w:pPr>
      <w:spacing w:after="100"/>
      <w:ind w:left="200"/>
    </w:pPr>
  </w:style>
  <w:style w:type="paragraph" w:styleId="19">
    <w:name w:val="annotation subject"/>
    <w:basedOn w:val="10"/>
    <w:next w:val="10"/>
    <w:link w:val="61"/>
    <w:semiHidden/>
    <w:unhideWhenUsed/>
    <w:qFormat/>
    <w:uiPriority w:val="99"/>
    <w:rPr>
      <w:b/>
      <w:bCs/>
    </w:rPr>
  </w:style>
  <w:style w:type="table" w:styleId="21">
    <w:name w:val="Table Grid"/>
    <w:basedOn w:val="20"/>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FollowedHyperlink"/>
    <w:basedOn w:val="22"/>
    <w:semiHidden/>
    <w:unhideWhenUsed/>
    <w:qFormat/>
    <w:uiPriority w:val="99"/>
    <w:rPr>
      <w:color w:val="954F72" w:themeColor="followedHyperlink"/>
      <w:u w:val="single"/>
      <w14:textFill>
        <w14:solidFill>
          <w14:schemeClr w14:val="folHlink"/>
        </w14:solidFill>
      </w14:textFill>
    </w:rPr>
  </w:style>
  <w:style w:type="character" w:styleId="24">
    <w:name w:val="Hyperlink"/>
    <w:basedOn w:val="22"/>
    <w:unhideWhenUsed/>
    <w:qFormat/>
    <w:uiPriority w:val="99"/>
    <w:rPr>
      <w:color w:val="0563C1" w:themeColor="hyperlink"/>
      <w:u w:val="single"/>
      <w14:textFill>
        <w14:solidFill>
          <w14:schemeClr w14:val="hlink"/>
        </w14:solidFill>
      </w14:textFill>
    </w:rPr>
  </w:style>
  <w:style w:type="character" w:styleId="25">
    <w:name w:val="annotation reference"/>
    <w:basedOn w:val="22"/>
    <w:semiHidden/>
    <w:unhideWhenUsed/>
    <w:qFormat/>
    <w:uiPriority w:val="99"/>
    <w:rPr>
      <w:sz w:val="16"/>
      <w:szCs w:val="16"/>
    </w:rPr>
  </w:style>
  <w:style w:type="character" w:customStyle="1" w:styleId="26">
    <w:name w:val="Heading 2 Char"/>
    <w:basedOn w:val="22"/>
    <w:link w:val="3"/>
    <w:qFormat/>
    <w:uiPriority w:val="0"/>
    <w:rPr>
      <w:rFonts w:ascii="Arial" w:hAnsi="Arial" w:eastAsia="Times New Roman" w:cs="Times New Roman"/>
      <w:sz w:val="32"/>
      <w:szCs w:val="20"/>
      <w:lang w:val="en-GB"/>
    </w:rPr>
  </w:style>
  <w:style w:type="character" w:customStyle="1" w:styleId="27">
    <w:name w:val="Heading 1 Char"/>
    <w:basedOn w:val="22"/>
    <w:link w:val="2"/>
    <w:qFormat/>
    <w:uiPriority w:val="9"/>
    <w:rPr>
      <w:rFonts w:asciiTheme="majorHAnsi" w:hAnsiTheme="majorHAnsi" w:eastAsiaTheme="majorEastAsia" w:cstheme="majorBidi"/>
      <w:color w:val="2F5597" w:themeColor="accent1" w:themeShade="BF"/>
      <w:sz w:val="32"/>
      <w:szCs w:val="32"/>
    </w:rPr>
  </w:style>
  <w:style w:type="paragraph" w:styleId="28">
    <w:name w:val="List Paragraph"/>
    <w:basedOn w:val="1"/>
    <w:link w:val="35"/>
    <w:qFormat/>
    <w:uiPriority w:val="34"/>
    <w:pPr>
      <w:ind w:left="720"/>
      <w:contextualSpacing/>
    </w:pPr>
  </w:style>
  <w:style w:type="paragraph" w:customStyle="1" w:styleId="29">
    <w:name w:val="RAN4 H2"/>
    <w:basedOn w:val="3"/>
    <w:next w:val="1"/>
    <w:link w:val="31"/>
    <w:qFormat/>
    <w:uiPriority w:val="0"/>
    <w:rPr>
      <w:lang w:val="en-US"/>
    </w:rPr>
  </w:style>
  <w:style w:type="paragraph" w:customStyle="1" w:styleId="30">
    <w:name w:val="RAN4 H1"/>
    <w:basedOn w:val="1"/>
    <w:link w:val="33"/>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31">
    <w:name w:val="RAN4 H2 Char"/>
    <w:basedOn w:val="26"/>
    <w:link w:val="29"/>
    <w:qFormat/>
    <w:uiPriority w:val="0"/>
    <w:rPr>
      <w:rFonts w:ascii="Arial" w:hAnsi="Arial" w:eastAsia="Times New Roman" w:cs="Times New Roman"/>
      <w:sz w:val="32"/>
      <w:szCs w:val="20"/>
      <w:lang w:val="en-GB"/>
    </w:rPr>
  </w:style>
  <w:style w:type="paragraph" w:customStyle="1" w:styleId="32">
    <w:name w:val="RAN4 Observation"/>
    <w:basedOn w:val="28"/>
    <w:next w:val="1"/>
    <w:link w:val="36"/>
    <w:qFormat/>
    <w:uiPriority w:val="0"/>
    <w:pPr>
      <w:numPr>
        <w:ilvl w:val="0"/>
        <w:numId w:val="1"/>
      </w:numPr>
    </w:pPr>
    <w:rPr>
      <w:rFonts w:eastAsia="Calibri" w:cs="Times New Roman"/>
      <w:szCs w:val="20"/>
      <w:lang w:val="en-GB"/>
    </w:rPr>
  </w:style>
  <w:style w:type="character" w:customStyle="1" w:styleId="33">
    <w:name w:val="RAN4 H1 Char"/>
    <w:basedOn w:val="22"/>
    <w:link w:val="30"/>
    <w:qFormat/>
    <w:uiPriority w:val="0"/>
    <w:rPr>
      <w:rFonts w:ascii="Arial" w:hAnsi="Arial" w:eastAsia="宋体" w:cs="Times New Roman"/>
      <w:sz w:val="36"/>
      <w:szCs w:val="20"/>
      <w:lang w:val="en-GB"/>
    </w:rPr>
  </w:style>
  <w:style w:type="paragraph" w:customStyle="1" w:styleId="34">
    <w:name w:val="RAN4 Proposal"/>
    <w:basedOn w:val="28"/>
    <w:next w:val="1"/>
    <w:link w:val="37"/>
    <w:qFormat/>
    <w:uiPriority w:val="0"/>
    <w:pPr>
      <w:numPr>
        <w:ilvl w:val="0"/>
        <w:numId w:val="2"/>
      </w:numPr>
      <w:ind w:left="0" w:firstLine="0"/>
    </w:pPr>
    <w:rPr>
      <w:rFonts w:eastAsia="Calibri" w:cs="Times New Roman"/>
      <w:b/>
      <w:szCs w:val="20"/>
      <w:lang w:val="en-GB"/>
    </w:rPr>
  </w:style>
  <w:style w:type="character" w:customStyle="1" w:styleId="35">
    <w:name w:val="List Paragraph Char"/>
    <w:basedOn w:val="22"/>
    <w:link w:val="28"/>
    <w:qFormat/>
    <w:uiPriority w:val="34"/>
  </w:style>
  <w:style w:type="character" w:customStyle="1" w:styleId="36">
    <w:name w:val="RAN4 Observation Char"/>
    <w:basedOn w:val="35"/>
    <w:link w:val="32"/>
    <w:qFormat/>
    <w:uiPriority w:val="0"/>
    <w:rPr>
      <w:rFonts w:ascii="Times New Roman" w:hAnsi="Times New Roman" w:eastAsia="Calibri" w:cs="Times New Roman"/>
      <w:sz w:val="20"/>
      <w:szCs w:val="20"/>
      <w:lang w:val="en-GB"/>
    </w:rPr>
  </w:style>
  <w:style w:type="character" w:customStyle="1" w:styleId="37">
    <w:name w:val="RAN4 Proposal Char"/>
    <w:basedOn w:val="35"/>
    <w:link w:val="34"/>
    <w:qFormat/>
    <w:uiPriority w:val="0"/>
    <w:rPr>
      <w:rFonts w:ascii="Times New Roman" w:hAnsi="Times New Roman" w:eastAsia="Calibri" w:cs="Times New Roman"/>
      <w:b/>
      <w:sz w:val="20"/>
      <w:szCs w:val="20"/>
      <w:lang w:val="en-GB"/>
    </w:rPr>
  </w:style>
  <w:style w:type="paragraph" w:customStyle="1" w:styleId="38">
    <w:name w:val="RAN4 proposal"/>
    <w:basedOn w:val="9"/>
    <w:next w:val="1"/>
    <w:link w:val="41"/>
    <w:qFormat/>
    <w:uiPriority w:val="0"/>
    <w:pPr>
      <w:numPr>
        <w:ilvl w:val="0"/>
        <w:numId w:val="3"/>
      </w:numPr>
      <w:ind w:left="0" w:firstLine="0"/>
      <w:jc w:val="left"/>
    </w:pPr>
    <w:rPr>
      <w:rFonts w:ascii="Times New Roman" w:hAnsi="Times New Roman"/>
      <w:b/>
      <w:i w:val="0"/>
      <w:sz w:val="22"/>
    </w:rPr>
  </w:style>
  <w:style w:type="paragraph" w:customStyle="1" w:styleId="39">
    <w:name w:val="TOC Heading"/>
    <w:basedOn w:val="2"/>
    <w:next w:val="1"/>
    <w:unhideWhenUsed/>
    <w:qFormat/>
    <w:uiPriority w:val="39"/>
    <w:pPr>
      <w:outlineLvl w:val="9"/>
    </w:pPr>
  </w:style>
  <w:style w:type="character" w:customStyle="1" w:styleId="40">
    <w:name w:val="Caption Char"/>
    <w:basedOn w:val="22"/>
    <w:link w:val="9"/>
    <w:qFormat/>
    <w:uiPriority w:val="35"/>
    <w:rPr>
      <w:rFonts w:ascii="Arial" w:hAnsi="Arial"/>
      <w:i/>
      <w:iCs/>
      <w:sz w:val="18"/>
      <w:szCs w:val="18"/>
    </w:rPr>
  </w:style>
  <w:style w:type="character" w:customStyle="1" w:styleId="41">
    <w:name w:val="RAN4 proposal Char"/>
    <w:basedOn w:val="40"/>
    <w:link w:val="38"/>
    <w:qFormat/>
    <w:uiPriority w:val="0"/>
    <w:rPr>
      <w:rFonts w:ascii="Times New Roman" w:hAnsi="Times New Roman"/>
      <w:b/>
      <w:i w:val="0"/>
      <w:sz w:val="18"/>
      <w:szCs w:val="18"/>
    </w:rPr>
  </w:style>
  <w:style w:type="paragraph" w:customStyle="1" w:styleId="42">
    <w:name w:val="RAN4 observation"/>
    <w:basedOn w:val="32"/>
    <w:next w:val="1"/>
    <w:link w:val="43"/>
    <w:qFormat/>
    <w:uiPriority w:val="0"/>
    <w:pPr>
      <w:ind w:left="0" w:firstLine="0"/>
    </w:pPr>
    <w:rPr>
      <w:sz w:val="22"/>
    </w:rPr>
  </w:style>
  <w:style w:type="character" w:customStyle="1" w:styleId="43">
    <w:name w:val="RAN4 observation Char"/>
    <w:basedOn w:val="36"/>
    <w:link w:val="42"/>
    <w:qFormat/>
    <w:uiPriority w:val="0"/>
    <w:rPr>
      <w:rFonts w:ascii="Times New Roman" w:hAnsi="Times New Roman" w:eastAsia="Calibri" w:cs="Times New Roman"/>
      <w:sz w:val="20"/>
      <w:szCs w:val="20"/>
      <w:lang w:val="en-GB"/>
    </w:rPr>
  </w:style>
  <w:style w:type="character" w:customStyle="1" w:styleId="44">
    <w:name w:val="Unresolved Mention"/>
    <w:basedOn w:val="22"/>
    <w:semiHidden/>
    <w:unhideWhenUsed/>
    <w:qFormat/>
    <w:uiPriority w:val="99"/>
    <w:rPr>
      <w:color w:val="808080"/>
      <w:shd w:val="clear" w:color="auto" w:fill="E6E6E6"/>
    </w:rPr>
  </w:style>
  <w:style w:type="character" w:customStyle="1" w:styleId="45">
    <w:name w:val="Heading 4 Char"/>
    <w:basedOn w:val="22"/>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6">
    <w:name w:val="Doc-text2 Char"/>
    <w:link w:val="47"/>
    <w:qFormat/>
    <w:locked/>
    <w:uiPriority w:val="0"/>
    <w:rPr>
      <w:rFonts w:ascii="Arial" w:hAnsi="Arial" w:eastAsia="Times New Roman" w:cs="Arial"/>
      <w:lang w:val="zh-CN" w:eastAsia="zh-CN"/>
    </w:rPr>
  </w:style>
  <w:style w:type="paragraph" w:customStyle="1" w:styleId="47">
    <w:name w:val="Doc-text2"/>
    <w:basedOn w:val="1"/>
    <w:link w:val="46"/>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8">
    <w:name w:val="Body Text Char"/>
    <w:basedOn w:val="22"/>
    <w:link w:val="11"/>
    <w:semiHidden/>
    <w:qFormat/>
    <w:uiPriority w:val="0"/>
    <w:rPr>
      <w:rFonts w:ascii="Arial" w:hAnsi="Arial"/>
      <w:lang w:val="da-DK" w:eastAsia="zh-CN"/>
    </w:rPr>
  </w:style>
  <w:style w:type="paragraph" w:customStyle="1" w:styleId="49">
    <w:name w:val="Agreement"/>
    <w:basedOn w:val="1"/>
    <w:next w:val="47"/>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50">
    <w:name w:val="TAL"/>
    <w:basedOn w:val="1"/>
    <w:link w:val="51"/>
    <w:qFormat/>
    <w:uiPriority w:val="0"/>
    <w:pPr>
      <w:keepNext/>
      <w:keepLines/>
      <w:spacing w:after="0" w:line="240" w:lineRule="auto"/>
    </w:pPr>
    <w:rPr>
      <w:rFonts w:ascii="Arial" w:hAnsi="Arial" w:eastAsia="Times New Roman" w:cs="Times New Roman"/>
      <w:sz w:val="18"/>
      <w:szCs w:val="20"/>
      <w:lang w:val="en-GB"/>
    </w:rPr>
  </w:style>
  <w:style w:type="character" w:customStyle="1" w:styleId="51">
    <w:name w:val="TAL Char"/>
    <w:link w:val="50"/>
    <w:qFormat/>
    <w:locked/>
    <w:uiPriority w:val="0"/>
    <w:rPr>
      <w:rFonts w:ascii="Arial" w:hAnsi="Arial" w:eastAsia="Times New Roman" w:cs="Times New Roman"/>
      <w:sz w:val="18"/>
      <w:szCs w:val="20"/>
      <w:lang w:val="en-GB"/>
    </w:rPr>
  </w:style>
  <w:style w:type="paragraph" w:customStyle="1" w:styleId="52">
    <w:name w:val="B2"/>
    <w:basedOn w:val="7"/>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3">
    <w:name w:val="EmailDiscussion"/>
    <w:basedOn w:val="1"/>
    <w:next w:val="1"/>
    <w:link w:val="54"/>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4">
    <w:name w:val="EmailDiscussion Char"/>
    <w:link w:val="53"/>
    <w:qFormat/>
    <w:uiPriority w:val="0"/>
    <w:rPr>
      <w:rFonts w:ascii="Arial" w:hAnsi="Arial" w:eastAsia="MS Mincho" w:cs="Times New Roman"/>
      <w:b/>
      <w:sz w:val="20"/>
      <w:szCs w:val="24"/>
      <w:lang w:val="en-GB" w:eastAsia="en-GB"/>
    </w:rPr>
  </w:style>
  <w:style w:type="character" w:customStyle="1" w:styleId="55">
    <w:name w:val="Header Char"/>
    <w:basedOn w:val="22"/>
    <w:link w:val="13"/>
    <w:semiHidden/>
    <w:qFormat/>
    <w:locked/>
    <w:uiPriority w:val="0"/>
    <w:rPr>
      <w:rFonts w:ascii="Tms Rmn" w:hAnsi="Tms Rmn"/>
      <w:b/>
      <w:sz w:val="18"/>
    </w:rPr>
  </w:style>
  <w:style w:type="character" w:customStyle="1" w:styleId="56">
    <w:name w:val="Header Char1"/>
    <w:basedOn w:val="22"/>
    <w:semiHidden/>
    <w:qFormat/>
    <w:uiPriority w:val="99"/>
    <w:rPr>
      <w:rFonts w:ascii="Times New Roman" w:hAnsi="Times New Roman"/>
      <w:sz w:val="20"/>
    </w:rPr>
  </w:style>
  <w:style w:type="character" w:customStyle="1" w:styleId="57">
    <w:name w:val="Balloon Text Char"/>
    <w:basedOn w:val="22"/>
    <w:link w:val="12"/>
    <w:semiHidden/>
    <w:qFormat/>
    <w:uiPriority w:val="99"/>
    <w:rPr>
      <w:rFonts w:ascii="Segoe UI" w:hAnsi="Segoe UI" w:cs="Segoe UI"/>
      <w:sz w:val="18"/>
      <w:szCs w:val="18"/>
    </w:rPr>
  </w:style>
  <w:style w:type="character" w:customStyle="1" w:styleId="58">
    <w:name w:val="CR Cover Page Zchn"/>
    <w:link w:val="59"/>
    <w:qFormat/>
    <w:locked/>
    <w:uiPriority w:val="0"/>
    <w:rPr>
      <w:rFonts w:ascii="Arial" w:hAnsi="Arial" w:cs="Arial"/>
      <w:lang w:val="en-GB"/>
    </w:rPr>
  </w:style>
  <w:style w:type="paragraph" w:customStyle="1" w:styleId="59">
    <w:name w:val="CR Cover Page"/>
    <w:link w:val="58"/>
    <w:qFormat/>
    <w:uiPriority w:val="0"/>
    <w:pPr>
      <w:spacing w:after="120" w:line="240" w:lineRule="auto"/>
    </w:pPr>
    <w:rPr>
      <w:rFonts w:ascii="Arial" w:hAnsi="Arial" w:cs="Arial" w:eastAsiaTheme="minorHAnsi"/>
      <w:sz w:val="22"/>
      <w:szCs w:val="22"/>
      <w:lang w:val="en-GB" w:eastAsia="en-US" w:bidi="ar-SA"/>
    </w:rPr>
  </w:style>
  <w:style w:type="character" w:customStyle="1" w:styleId="60">
    <w:name w:val="Comment Text Char"/>
    <w:basedOn w:val="22"/>
    <w:link w:val="10"/>
    <w:semiHidden/>
    <w:qFormat/>
    <w:uiPriority w:val="99"/>
    <w:rPr>
      <w:rFonts w:ascii="Times New Roman" w:hAnsi="Times New Roman"/>
      <w:sz w:val="20"/>
      <w:szCs w:val="20"/>
    </w:rPr>
  </w:style>
  <w:style w:type="character" w:customStyle="1" w:styleId="61">
    <w:name w:val="Comment Subject Char"/>
    <w:basedOn w:val="60"/>
    <w:link w:val="19"/>
    <w:semiHidden/>
    <w:qFormat/>
    <w:uiPriority w:val="99"/>
    <w:rPr>
      <w:rFonts w:ascii="Times New Roman" w:hAnsi="Times New Roman"/>
      <w:b/>
      <w:bCs/>
      <w:sz w:val="20"/>
      <w:szCs w:val="20"/>
    </w:rPr>
  </w:style>
  <w:style w:type="paragraph" w:customStyle="1" w:styleId="62">
    <w:name w:val="3GPP Normal Text"/>
    <w:basedOn w:val="11"/>
    <w:link w:val="63"/>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3">
    <w:name w:val="3GPP Normal Text Char"/>
    <w:link w:val="62"/>
    <w:qFormat/>
    <w:uiPriority w:val="0"/>
    <w:rPr>
      <w:rFonts w:ascii="Times New Roman" w:hAnsi="Times New Roman" w:eastAsia="MS Mincho" w:cs="Arial"/>
      <w:sz w:val="20"/>
      <w:szCs w:val="24"/>
    </w:rPr>
  </w:style>
  <w:style w:type="paragraph" w:customStyle="1" w:styleId="64">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5">
    <w:name w:val="TH"/>
    <w:basedOn w:val="1"/>
    <w:qFormat/>
    <w:uiPriority w:val="0"/>
    <w:pPr>
      <w:keepNext/>
      <w:keepLines/>
      <w:spacing w:before="60"/>
      <w:jc w:val="center"/>
    </w:pPr>
    <w:rPr>
      <w:rFonts w:ascii="Arial" w:hAnsi="Arial"/>
      <w:b/>
      <w:lang w:eastAsia="zh-CN"/>
    </w:rPr>
  </w:style>
  <w:style w:type="paragraph" w:customStyle="1" w:styleId="66">
    <w:name w:val="NO"/>
    <w:basedOn w:val="1"/>
    <w:qFormat/>
    <w:uiPriority w:val="0"/>
    <w:pPr>
      <w:keepLines/>
      <w:ind w:left="1135" w:hanging="851"/>
    </w:pPr>
    <w:rPr>
      <w:lang w:eastAsia="zh-CN"/>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8">
    <w:name w:val="B1"/>
    <w:basedOn w:val="8"/>
    <w:qFormat/>
    <w:uiPriority w:val="0"/>
  </w:style>
  <w:style w:type="paragraph" w:customStyle="1" w:styleId="69">
    <w:name w:val="B3"/>
    <w:basedOn w:val="6"/>
    <w:qFormat/>
    <w:uiPriority w:val="0"/>
  </w:style>
  <w:style w:type="paragraph" w:customStyle="1" w:styleId="70">
    <w:name w:val="B4"/>
    <w:basedOn w:val="16"/>
    <w:qFormat/>
    <w:uiPriority w:val="0"/>
  </w:style>
  <w:style w:type="paragraph" w:customStyle="1" w:styleId="71">
    <w:name w:val="B5"/>
    <w:basedOn w:val="15"/>
    <w:qFormat/>
    <w:uiPriority w:val="0"/>
  </w:style>
  <w:style w:type="paragraph" w:customStyle="1" w:styleId="72">
    <w:name w:val="B6"/>
    <w:basedOn w:val="71"/>
    <w:qFormat/>
    <w:uiPriority w:val="0"/>
    <w:pPr>
      <w:ind w:left="1985"/>
    </w:pPr>
  </w:style>
  <w:style w:type="paragraph" w:customStyle="1" w:styleId="73">
    <w:name w:val="EQ"/>
    <w:basedOn w:val="1"/>
    <w:next w:val="1"/>
    <w:qFormat/>
    <w:uiPriority w:val="0"/>
    <w:pPr>
      <w:keepLines/>
      <w:tabs>
        <w:tab w:val="center" w:pos="4536"/>
        <w:tab w:val="right" w:pos="9072"/>
      </w:tabs>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D117E1-8C1C-466A-8D7F-EAF64C1488C0}">
  <ds:schemaRefs/>
</ds:datastoreItem>
</file>

<file path=customXml/itemProps3.xml><?xml version="1.0" encoding="utf-8"?>
<ds:datastoreItem xmlns:ds="http://schemas.openxmlformats.org/officeDocument/2006/customXml" ds:itemID="{E8E32C24-5F96-4713-A70F-A7BA20BB6CD6}">
  <ds:schemaRefs/>
</ds:datastoreItem>
</file>

<file path=customXml/itemProps4.xml><?xml version="1.0" encoding="utf-8"?>
<ds:datastoreItem xmlns:ds="http://schemas.openxmlformats.org/officeDocument/2006/customXml" ds:itemID="{E173285D-2887-45E3-A024-3D1E71CC8E74}">
  <ds:schemaRefs/>
</ds:datastoreItem>
</file>

<file path=customXml/itemProps5.xml><?xml version="1.0" encoding="utf-8"?>
<ds:datastoreItem xmlns:ds="http://schemas.openxmlformats.org/officeDocument/2006/customXml" ds:itemID="{9B5B53C8-48A5-44AD-B897-E90CB0B8E3EC}">
  <ds:schemaRefs/>
</ds:datastoreItem>
</file>

<file path=customXml/itemProps6.xml><?xml version="1.0" encoding="utf-8"?>
<ds:datastoreItem xmlns:ds="http://schemas.openxmlformats.org/officeDocument/2006/customXml" ds:itemID="{08DA32A5-C37F-4DB0-94C0-5301A1F35695}">
  <ds:schemaRefs/>
</ds:datastoreItem>
</file>

<file path=customXml/itemProps7.xml><?xml version="1.0" encoding="utf-8"?>
<ds:datastoreItem xmlns:ds="http://schemas.openxmlformats.org/officeDocument/2006/customXml" ds:itemID="{EAA4E9F1-3478-4E48-ACB7-A0EA7CF8F594}">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0</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2021-01-15T10:17:24Z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